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7.png" ContentType="image/png"/>
  <Override PartName="/word/media/image26.jpeg" ContentType="image/jpeg"/>
  <Override PartName="/word/media/image4.jpeg" ContentType="image/jpeg"/>
  <Override PartName="/word/media/image40.png" ContentType="image/png"/>
  <Override PartName="/word/media/image25.jpeg" ContentType="image/jpeg"/>
  <Override PartName="/word/media/image30.png" ContentType="image/png"/>
  <Override PartName="/word/media/image29.png" ContentType="image/png"/>
  <Override PartName="/word/media/image24.jpeg" ContentType="image/jpeg"/>
  <Override PartName="/word/media/image2.jpeg" ContentType="image/jpeg"/>
  <Override PartName="/word/media/image22.jpeg" ContentType="image/jpeg"/>
  <Override PartName="/word/media/image37.png" ContentType="image/png"/>
  <Override PartName="/word/media/image23.jpeg" ContentType="image/jpeg"/>
  <Override PartName="/word/media/image1.jpeg" ContentType="image/jpeg"/>
  <Override PartName="/word/media/image21.png" ContentType="image/png"/>
  <Override PartName="/word/media/image19.jpeg" ContentType="image/jpeg"/>
  <Override PartName="/word/media/image20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38.png" ContentType="image/png"/>
  <Override PartName="/word/media/image8.jpeg" ContentType="image/jpeg"/>
  <Override PartName="/word/media/image13.jpeg" ContentType="image/jpeg"/>
  <Override PartName="/word/media/image31.png" ContentType="image/png"/>
  <Override PartName="/word/media/image34.png" ContentType="image/png"/>
  <Override PartName="/word/media/image36.png" ContentType="image/png"/>
  <Override PartName="/word/media/image39.png" ContentType="image/png"/>
  <Override PartName="/word/media/image41.png" ContentType="image/png"/>
  <Override PartName="/word/media/image32.png" ContentType="image/png"/>
  <Override PartName="/word/media/image44.png" ContentType="image/png"/>
  <Override PartName="/word/media/image45.jpeg" ContentType="image/jpeg"/>
  <Override PartName="/word/media/image28.png" ContentType="image/png"/>
  <Override PartName="/word/media/image7.jpeg" ContentType="image/jpeg"/>
  <Override PartName="/word/media/image10.jpeg" ContentType="image/jpeg"/>
  <Override PartName="/word/media/image42.png" ContentType="image/png"/>
  <Override PartName="/word/media/image6.jpeg" ContentType="image/jpeg"/>
  <Override PartName="/word/media/image5.jpeg" ContentType="image/jpeg"/>
  <Override PartName="/word/media/image35.png" ContentType="image/png"/>
  <Override PartName="/word/media/image3.png" ContentType="image/png"/>
  <Override PartName="/word/media/image14.jpeg" ContentType="image/jpeg"/>
  <Override PartName="/word/media/image15.png" ContentType="image/png"/>
  <Override PartName="/word/media/image16.jpeg" ContentType="image/jpeg"/>
  <Override PartName="/word/media/image33.png" ContentType="image/png"/>
  <Override PartName="/word/media/image17.jpeg" ContentType="image/jpeg"/>
  <Override PartName="/word/media/image43.png" ContentType="image/png"/>
  <Override PartName="/word/media/image18.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jc w:val="center"/>
        <w:rPr>
          <w:rFonts w:cs="Times New Roman"/>
          <w:b/>
          <w:color w:val="auto"/>
        </w:rPr>
      </w:pPr>
      <w:r>
        <w:rPr>
          <w:rFonts w:cs="Times New Roman"/>
          <w:b/>
        </w:rPr>
        <w:t>ИНФОРМАЦИЯ ПО ЭКСПЛУАТАЦИИ</w:t>
      </w:r>
    </w:p>
    <w:p>
      <w:pPr>
        <w:pStyle w:val="Normal"/>
        <w:spacing w:lineRule="auto" w:line="240" w:before="0" w:after="0"/>
        <w:ind w:firstLine="709"/>
        <w:jc w:val="center"/>
        <w:rPr>
          <w:rFonts w:cs="Times New Roman"/>
          <w:b/>
          <w:color w:val="auto"/>
        </w:rPr>
      </w:pPr>
      <w:r>
        <w:rPr>
          <w:rFonts w:cs="Times New Roman"/>
          <w:b/>
        </w:rPr>
        <w:t>ПРОГРАММНОГО ОБЕСПЕЧЕНИЯ СИСТЕМЫ АВТОМАТИЗАЦИИ ПРОЦЕССОВ ХРАНЕНИЯ И ВЫДАЧИ ИМУЩЕСТВА</w:t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г. Москва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2024</w:t>
      </w:r>
    </w:p>
    <w:p>
      <w:pPr>
        <w:pStyle w:val="Normal"/>
        <w:spacing w:lineRule="auto" w:line="240" w:before="0" w:after="0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"/>
        <w:spacing w:before="0" w:after="200"/>
        <w:ind w:firstLine="709"/>
        <w:contextualSpacing/>
        <w:jc w:val="center"/>
        <w:rPr>
          <w:b/>
          <w:bCs/>
        </w:rPr>
      </w:pPr>
      <w:r>
        <w:rPr>
          <w:b/>
          <w:bCs/>
        </w:rPr>
        <w:t>ОГЛАВЛЕНИЕ</w:t>
      </w:r>
    </w:p>
    <w:p>
      <w:pPr>
        <w:pStyle w:val="Normal"/>
        <w:spacing w:before="0" w:after="160"/>
        <w:ind w:firstLine="709"/>
        <w:contextualSpacing/>
        <w:rPr/>
      </w:pPr>
      <w:r>
        <w:rPr/>
      </w:r>
    </w:p>
    <w:sdt>
      <w:sdtPr>
        <w:docPartObj>
          <w:docPartGallery w:val="Table of Contents"/>
          <w:docPartUnique w:val="true"/>
        </w:docPartObj>
        <w:id w:val="1747917373"/>
      </w:sdtPr>
      <w:sdtContent>
        <w:p>
          <w:pPr>
            <w:pStyle w:val="TOCHeading"/>
            <w:rPr/>
          </w:pPr>
          <w:r>
            <w:rPr/>
          </w:r>
        </w:p>
        <w:p>
          <w:pPr>
            <w:pStyle w:val="TOC1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r>
            <w:fldChar w:fldCharType="begin"/>
          </w:r>
          <w:r>
            <w:rPr>
              <w:webHidden/>
              <w:rStyle w:val="IndexLink"/>
              <w:vanish w:val="false"/>
            </w:rPr>
            <w:instrText xml:space="preserve"> TOC \z \o "1-3" \u \h</w:instrText>
          </w:r>
          <w:r>
            <w:rPr>
              <w:webHidden/>
              <w:rStyle w:val="IndexLink"/>
              <w:vanish w:val="false"/>
            </w:rPr>
            <w:fldChar w:fldCharType="separate"/>
          </w:r>
          <w:hyperlink w:anchor="_Toc175167244">
            <w:r>
              <w:rPr>
                <w:webHidden/>
                <w:rStyle w:val="IndexLink"/>
                <w:vanish w:val="false"/>
              </w:rPr>
              <w:t>1.</w:t>
            </w:r>
            <w:r>
              <w:rPr>
                <w:rStyle w:val="IndexLink"/>
                <w:rFonts w:eastAsia="Helvetica Neue" w:cs="Helvetica Neue" w:ascii="Helvetica Neue" w:hAnsi="Helvetica Neue" w:asciiTheme="minorHAnsi" w:cstheme="minorBidi" w:eastAsiaTheme="minorEastAsia" w:hAnsiTheme="minorHAnsi"/>
                <w:color w:val="auto"/>
                <w:kern w:val="2"/>
                <w:sz w:val="24"/>
                <w:szCs w:val="24"/>
              </w:rPr>
              <w:tab/>
            </w:r>
            <w:r>
              <w:rPr>
                <w:rStyle w:val="IndexLink"/>
              </w:rPr>
              <w:t>ОБЩИЕ СВЕДЕНИЯ</w:t>
            </w:r>
          </w:hyperlink>
          <w:r>
            <w:rPr/>
            <w:t>.</w:t>
          </w:r>
        </w:p>
        <w:p>
          <w:pPr>
            <w:pStyle w:val="TOC1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45">
            <w:r>
              <w:rPr>
                <w:webHidden/>
                <w:rStyle w:val="IndexLink"/>
                <w:vanish w:val="false"/>
              </w:rPr>
              <w:t>2.</w:t>
            </w:r>
            <w:r>
              <w:rPr>
                <w:rStyle w:val="IndexLink"/>
                <w:rFonts w:eastAsia="Helvetica Neue" w:cs="Helvetica Neue" w:ascii="Helvetica Neue" w:hAnsi="Helvetica Neue" w:asciiTheme="minorHAnsi" w:cstheme="minorBidi" w:eastAsiaTheme="minorEastAsia" w:hAnsiTheme="minorHAnsi"/>
                <w:color w:val="auto"/>
                <w:kern w:val="2"/>
                <w:sz w:val="24"/>
                <w:szCs w:val="24"/>
              </w:rPr>
              <w:tab/>
            </w:r>
            <w:r>
              <w:rPr>
                <w:rStyle w:val="IndexLink"/>
                <w:rFonts w:eastAsia="Arial Unicode MS" w:cs="Arial Unicode MS"/>
              </w:rPr>
              <w:t>СЦЕНАРИИ ИСПОЛЬЗОВАНИЯ СИСТЕМЫ</w:t>
            </w:r>
          </w:hyperlink>
          <w:r>
            <w:rPr>
              <w:rFonts w:eastAsia="Arial Unicode MS" w:cs="Arial Unicode MS"/>
            </w:rPr>
            <w:t>.</w:t>
          </w:r>
        </w:p>
        <w:p>
          <w:pPr>
            <w:pStyle w:val="TOC2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46">
            <w:r>
              <w:rPr>
                <w:webHidden/>
                <w:rStyle w:val="IndexLink"/>
                <w:vanish w:val="false"/>
              </w:rPr>
              <w:t>2.1. Общий сценарий использования системы</w:t>
            </w:r>
          </w:hyperlink>
          <w:r>
            <w:rPr>
              <w:vanish w:val="false"/>
            </w:rPr>
            <w:t>.</w:t>
          </w:r>
        </w:p>
        <w:p>
          <w:pPr>
            <w:pStyle w:val="TOC2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47">
            <w:r>
              <w:rPr>
                <w:webHidden/>
                <w:rStyle w:val="IndexLink"/>
                <w:vanish w:val="false"/>
              </w:rPr>
              <w:t>2.2 Сценарий использования Администратором</w:t>
            </w:r>
          </w:hyperlink>
          <w:r>
            <w:rPr>
              <w:vanish w:val="false"/>
            </w:rPr>
            <w:t>.</w:t>
          </w:r>
        </w:p>
        <w:p>
          <w:pPr>
            <w:pStyle w:val="TOC2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48">
            <w:r>
              <w:rPr>
                <w:webHidden/>
                <w:rStyle w:val="IndexLink"/>
                <w:vanish w:val="false"/>
              </w:rPr>
              <w:t>2.3</w:t>
            </w:r>
            <w:r>
              <w:rPr>
                <w:rStyle w:val="IndexLink"/>
                <w:rFonts w:eastAsia="Helvetica Neue" w:cs="Helvetica Neue" w:ascii="Helvetica Neue" w:hAnsi="Helvetica Neue" w:asciiTheme="minorHAnsi" w:cstheme="minorBidi" w:eastAsiaTheme="minorEastAsia" w:hAnsiTheme="minorHAnsi"/>
                <w:color w:val="auto"/>
                <w:kern w:val="2"/>
                <w:sz w:val="24"/>
                <w:szCs w:val="24"/>
              </w:rPr>
              <w:tab/>
            </w:r>
            <w:r>
              <w:rPr>
                <w:rStyle w:val="IndexLink"/>
              </w:rPr>
              <w:t>Сценарий использования Управляющим</w:t>
            </w:r>
          </w:hyperlink>
          <w:r>
            <w:rPr/>
            <w:t>.</w:t>
          </w:r>
        </w:p>
        <w:p>
          <w:pPr>
            <w:pStyle w:val="TOC2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49">
            <w:r>
              <w:rPr>
                <w:webHidden/>
                <w:rStyle w:val="IndexLink"/>
                <w:vanish w:val="false"/>
              </w:rPr>
              <w:t>2.4</w:t>
            </w:r>
            <w:r>
              <w:rPr>
                <w:rStyle w:val="IndexLink"/>
                <w:rFonts w:eastAsia="Helvetica Neue" w:cs="Helvetica Neue" w:ascii="Helvetica Neue" w:hAnsi="Helvetica Neue" w:asciiTheme="minorHAnsi" w:cstheme="minorBidi" w:eastAsiaTheme="minorEastAsia" w:hAnsiTheme="minorHAnsi"/>
                <w:color w:val="auto"/>
                <w:kern w:val="2"/>
                <w:sz w:val="24"/>
                <w:szCs w:val="24"/>
              </w:rPr>
              <w:tab/>
            </w:r>
            <w:r>
              <w:rPr>
                <w:rStyle w:val="IndexLink"/>
              </w:rPr>
              <w:t>Сценарий использования Владельцем бизнеса</w:t>
            </w:r>
          </w:hyperlink>
          <w:r>
            <w:rPr/>
            <w:t>.</w:t>
          </w:r>
        </w:p>
        <w:p>
          <w:pPr>
            <w:pStyle w:val="TOC2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hyperlink w:anchor="_Toc175167250">
            <w:r>
              <w:rPr>
                <w:webHidden/>
                <w:rStyle w:val="IndexLink"/>
                <w:vanish w:val="false"/>
              </w:rPr>
              <w:t>2.5</w:t>
            </w:r>
            <w:r>
              <w:rPr>
                <w:rStyle w:val="IndexLink"/>
                <w:rFonts w:eastAsia="Helvetica Neue" w:cs="Helvetica Neue" w:ascii="Helvetica Neue" w:hAnsi="Helvetica Neue" w:asciiTheme="minorHAnsi" w:cstheme="minorBidi" w:eastAsiaTheme="minorEastAsia" w:hAnsiTheme="minorHAnsi"/>
                <w:color w:val="auto"/>
                <w:kern w:val="2"/>
                <w:sz w:val="24"/>
                <w:szCs w:val="24"/>
              </w:rPr>
              <w:tab/>
            </w:r>
            <w:r>
              <w:rPr>
                <w:rStyle w:val="IndexLink"/>
              </w:rPr>
              <w:t>Сценарий использования представителем аэропорта</w:t>
            </w:r>
          </w:hyperlink>
          <w:r>
            <w:rPr/>
            <w:t>.</w:t>
          </w:r>
        </w:p>
        <w:p>
          <w:pPr>
            <w:pStyle w:val="TOC1"/>
            <w:rPr/>
          </w:pPr>
          <w:hyperlink w:anchor="_Toc175167251">
            <w:r>
              <w:rPr>
                <w:webHidden/>
                <w:rStyle w:val="IndexLink"/>
                <w:vanish w:val="false"/>
                <w:u w:val="none" w:color="000000"/>
              </w:rPr>
              <w:t xml:space="preserve">3.    </w:t>
            </w:r>
            <w:bookmarkStart w:id="2" w:name="_Toc6_Copy_2"/>
            <w:bookmarkStart w:id="3" w:name="_Toc175167251_Copy_2"/>
            <w:r>
              <w:rPr>
                <w:rStyle w:val="IndexLink"/>
                <w:rFonts w:eastAsia="Arial Unicode MS" w:cs="Arial Unicode MS"/>
                <w:vanish w:val="false"/>
                <w:u w:val="none" w:color="000000"/>
              </w:rPr>
              <w:t xml:space="preserve">Требования к </w:t>
            </w:r>
            <w:bookmarkStart w:id="4" w:name="OLE_LINK23_Copy_2"/>
            <w:r>
              <w:rPr>
                <w:rStyle w:val="IndexLink"/>
                <w:rFonts w:eastAsia="Arial Unicode MS" w:cs="Arial Unicode MS"/>
                <w:vanish w:val="false"/>
                <w:u w:val="none" w:color="000000"/>
              </w:rPr>
              <w:t>к</w:t>
            </w:r>
            <w:bookmarkStart w:id="5" w:name="OLE_LINK24_Copy_2"/>
            <w:bookmarkEnd w:id="4"/>
            <w:r>
              <w:rPr>
                <w:rStyle w:val="IndexLink"/>
                <w:rFonts w:eastAsia="Arial Unicode MS" w:cs="Arial Unicode MS"/>
                <w:vanish w:val="false"/>
                <w:u w:val="none" w:color="000000"/>
              </w:rPr>
              <w:t>валификации</w:t>
            </w:r>
            <w:bookmarkEnd w:id="5"/>
            <w:r>
              <w:rPr>
                <w:rStyle w:val="IndexLink"/>
                <w:rFonts w:eastAsia="Arial Unicode MS" w:cs="Arial Unicode MS"/>
                <w:vanish w:val="false"/>
                <w:u w:val="none" w:color="000000"/>
              </w:rPr>
              <w:t xml:space="preserve"> администраторов системы</w:t>
            </w:r>
          </w:hyperlink>
          <w:bookmarkEnd w:id="2"/>
          <w:bookmarkEnd w:id="3"/>
          <w:r>
            <w:rPr>
              <w:rFonts w:eastAsia="Arial Unicode MS" w:cs="Arial Unicode MS"/>
              <w:vanish w:val="false"/>
              <w:u w:val="none" w:color="000000"/>
            </w:rPr>
            <w:t>.</w:t>
          </w:r>
        </w:p>
        <w:p>
          <w:pPr>
            <w:pStyle w:val="TOC1"/>
            <w:rPr>
              <w:rFonts w:ascii="Helvetica Neue" w:hAnsi="Helvetica Neue" w:eastAsia="Helvetica Neue" w:cs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</w:pPr>
          <w:r>
            <w:rPr>
              <w:rFonts w:eastAsia="Helvetica Neue" w:cs="Helvetica Neue" w:ascii="Helvetica Neue" w:hAnsi="Helvetica Neue" w:asciiTheme="minorHAnsi" w:cstheme="minorBidi" w:eastAsiaTheme="minorEastAsia" w:hAnsiTheme="minorHAnsi"/>
              <w:color w:val="auto"/>
              <w:kern w:val="2"/>
              <w:sz w:val="24"/>
              <w:szCs w:val="24"/>
            </w:rPr>
            <w:t>4.</w:t>
            <w:tab/>
          </w:r>
          <w:hyperlink w:anchor="_Toc7">
            <w:r>
              <w:rPr>
                <w:webHidden/>
                <w:rStyle w:val="IndexLink"/>
                <w:rFonts w:eastAsia="Arial Unicode MS" w:cs="Arial Unicode MS" w:ascii="Helvetica Neue" w:hAnsi="Helvetica Neue" w:asciiTheme="minorHAnsi" w:hAnsiTheme="minorHAnsi"/>
                <w:vanish w:val="false"/>
                <w:color w:val="auto"/>
                <w:kern w:val="2"/>
                <w:sz w:val="24"/>
                <w:szCs w:val="24"/>
                <w:u w:val="none" w:color="000000"/>
              </w:rPr>
              <w:t>СЦЕНАРИЙ</w:t>
            </w:r>
            <w:bookmarkStart w:id="6" w:name="_Toc7_Copy_2"/>
            <w:bookmarkStart w:id="7" w:name="_Toc7_Copy_1"/>
            <w:r>
              <w:rPr>
                <w:rStyle w:val="IndexLink"/>
                <w:rFonts w:eastAsia="Arial Unicode MS" w:cs="Arial Unicode MS" w:ascii="Helvetica Neue" w:hAnsi="Helvetica Neue" w:asciiTheme="minorHAnsi" w:hAnsiTheme="minorHAnsi"/>
                <w:vanish w:val="false"/>
                <w:color w:val="auto"/>
                <w:kern w:val="2"/>
                <w:sz w:val="24"/>
                <w:szCs w:val="24"/>
                <w:u w:val="none" w:color="000000"/>
              </w:rPr>
              <w:t xml:space="preserve"> </w:t>
            </w:r>
            <w:bookmarkEnd w:id="6"/>
            <w:bookmarkEnd w:id="7"/>
            <w:r>
              <w:rPr>
                <w:rStyle w:val="IndexLink"/>
                <w:rFonts w:eastAsia="Arial Unicode MS" w:cs="Arial Unicode MS" w:ascii="Helvetica Neue" w:hAnsi="Helvetica Neue" w:asciiTheme="minorHAnsi" w:hAnsiTheme="minorHAnsi"/>
                <w:vanish w:val="false"/>
                <w:color w:val="auto"/>
                <w:kern w:val="2"/>
                <w:sz w:val="24"/>
                <w:szCs w:val="24"/>
                <w:u w:val="none" w:color="000000"/>
              </w:rPr>
              <w:t>УСТАНОВКИ СИСТЕМЫ</w:t>
            </w:r>
          </w:hyperlink>
          <w:r>
            <w:rPr>
              <w:rFonts w:eastAsia="Arial Unicode MS" w:cs="Arial Unicode MS" w:ascii="Helvetica Neue" w:hAnsi="Helvetica Neue" w:asciiTheme="minorHAnsi" w:hAnsiTheme="minorHAnsi"/>
              <w:vanish w:val="false"/>
              <w:color w:val="auto"/>
              <w:kern w:val="2"/>
              <w:sz w:val="24"/>
              <w:szCs w:val="24"/>
              <w:u w:val="none" w:color="000000"/>
            </w:rPr>
            <w:t>.</w:t>
          </w:r>
        </w:p>
        <w:p>
          <w:pPr>
            <w:pStyle w:val="TOC2"/>
            <w:rPr>
              <w:rFonts w:ascii="Times New Roman" w:hAnsi="Times New Roman"/>
              <w:sz w:val="28"/>
              <w:szCs w:val="28"/>
            </w:rPr>
          </w:pPr>
          <w:r>
            <w:rPr>
              <w:rFonts w:eastAsia="Helvetica Neue" w:cs="Helvetica Neue" w:ascii="Times New Roman" w:hAnsi="Times New Roman" w:cstheme="minorBidi" w:eastAsiaTheme="minorEastAsia"/>
              <w:vanish w:val="false"/>
              <w:color w:val="auto"/>
              <w:kern w:val="2"/>
              <w:sz w:val="28"/>
              <w:szCs w:val="28"/>
              <w:u w:val="none" w:color="000000"/>
            </w:rPr>
            <w:t xml:space="preserve">4.1 </w:t>
          </w:r>
          <w:r>
            <w:rPr>
              <w:rFonts w:eastAsia="Helvetica Neue" w:cs="Times New Roman" w:ascii="Times New Roman" w:hAnsi="Times New Roman" w:eastAsiaTheme="minorEastAsia"/>
              <w:b w:val="false"/>
              <w:bCs w:val="false"/>
              <w:vanish w:val="false"/>
              <w:color w:val="auto"/>
              <w:kern w:val="2"/>
              <w:sz w:val="28"/>
              <w:szCs w:val="28"/>
              <w:u w:val="none" w:color="000000"/>
            </w:rPr>
            <w:t>Системные требования</w:t>
          </w:r>
        </w:p>
        <w:p>
          <w:pPr>
            <w:pStyle w:val="TOC2"/>
            <w:rPr>
              <w:rFonts w:ascii="Times New Roman" w:hAnsi="Times New Roman"/>
              <w:sz w:val="28"/>
              <w:szCs w:val="28"/>
            </w:rPr>
          </w:pPr>
          <w:r>
            <w:rPr>
              <w:rFonts w:eastAsia="Helvetica Neue" w:cs="Times New Roman" w:ascii="Times New Roman" w:hAnsi="Times New Roman" w:eastAsiaTheme="minorEastAsia"/>
              <w:b w:val="false"/>
              <w:bCs w:val="false"/>
              <w:vanish w:val="false"/>
              <w:color w:val="auto"/>
              <w:kern w:val="2"/>
              <w:sz w:val="28"/>
              <w:szCs w:val="28"/>
              <w:u w:val="none" w:color="000000"/>
            </w:rPr>
            <w:t>4.2 Процесс подготовки к запуску</w:t>
          </w:r>
        </w:p>
        <w:p>
          <w:pPr>
            <w:pStyle w:val="TOC2"/>
            <w:rPr>
              <w:rFonts w:ascii="Times New Roman" w:hAnsi="Times New Roman"/>
              <w:b w:val="false"/>
              <w:bCs w:val="false"/>
              <w:sz w:val="28"/>
              <w:szCs w:val="28"/>
            </w:rPr>
          </w:pPr>
          <w:r>
            <w:rPr>
              <w:rFonts w:eastAsia="Helvetica Neue" w:cs="Times New Roman" w:ascii="Times New Roman" w:hAnsi="Times New Roman" w:eastAsiaTheme="minorEastAsia"/>
              <w:b w:val="false"/>
              <w:bCs w:val="false"/>
              <w:vanish w:val="false"/>
              <w:color w:val="auto"/>
              <w:kern w:val="2"/>
              <w:sz w:val="28"/>
              <w:szCs w:val="28"/>
              <w:u w:val="none" w:color="000000"/>
            </w:rPr>
            <w:t>4.3 Импорт виртуальной машины</w:t>
          </w:r>
        </w:p>
        <w:p>
          <w:pPr>
            <w:pStyle w:val="TOC2"/>
            <w:rPr>
              <w:rFonts w:ascii="Times New Roman" w:hAnsi="Times New Roman"/>
              <w:b w:val="false"/>
              <w:bCs w:val="false"/>
              <w:sz w:val="28"/>
              <w:szCs w:val="28"/>
            </w:rPr>
          </w:pPr>
          <w:r>
            <w:rPr>
              <w:rFonts w:eastAsia="Helvetica Neue" w:cs="Times New Roman" w:ascii="Times New Roman" w:hAnsi="Times New Roman" w:eastAsiaTheme="minorEastAsia"/>
              <w:b w:val="false"/>
              <w:bCs w:val="false"/>
              <w:vanish w:val="false"/>
              <w:color w:val="auto"/>
              <w:kern w:val="2"/>
              <w:sz w:val="28"/>
              <w:szCs w:val="28"/>
              <w:u w:val="none" w:color="000000"/>
            </w:rPr>
            <w:t>4.4 Создание сети и её выбор на виртуальной машине</w:t>
          </w:r>
        </w:p>
        <w:p>
          <w:pPr>
            <w:pStyle w:val="TOC2"/>
            <w:rPr>
              <w:rFonts w:ascii="Times New Roman" w:hAnsi="Times New Roman"/>
              <w:b w:val="false"/>
              <w:bCs w:val="false"/>
              <w:sz w:val="28"/>
              <w:szCs w:val="28"/>
            </w:rPr>
          </w:pPr>
          <w:r>
            <w:rPr>
              <w:rFonts w:eastAsia="Helvetica Neue" w:cs="Times New Roman" w:ascii="Times New Roman" w:hAnsi="Times New Roman" w:eastAsiaTheme="minorEastAsia"/>
              <w:b w:val="false"/>
              <w:bCs w:val="false"/>
              <w:vanish w:val="false"/>
              <w:color w:val="auto"/>
              <w:kern w:val="2"/>
              <w:sz w:val="28"/>
              <w:szCs w:val="28"/>
              <w:u w:val="none" w:color="000000"/>
            </w:rPr>
            <w:t>4.5 Запуск виртуальной машины и самой Системы</w:t>
          </w:r>
          <w:r>
            <w:rPr>
              <w:sz w:val="28"/>
              <w:u w:val="none" w:color="000000"/>
              <w:b w:val="false"/>
              <w:kern w:val="2"/>
              <w:szCs w:val="28"/>
              <w:bCs w:val="false"/>
              <w:vanish w:val="false"/>
              <w:rFonts w:eastAsia="Helvetica Neue" w:cs="Times New Roman" w:ascii="Times New Roman" w:hAnsi="Times New Roman"/>
              <w:color w:val="auto"/>
            </w:rPr>
            <w:fldChar w:fldCharType="end"/>
          </w:r>
        </w:p>
      </w:sdtContent>
    </w:sdt>
    <w:p>
      <w:pPr>
        <w:pStyle w:val="Normal"/>
        <w:spacing w:before="0" w:after="160"/>
        <w:ind w:firstLine="709"/>
        <w:contextualSpacing/>
        <w:rPr/>
      </w:pPr>
      <w:r>
        <w:rPr/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Cs/>
          <w:caps/>
          <w:kern w:val="2"/>
        </w:rPr>
      </w:pPr>
      <w:r>
        <w:rPr>
          <w:rFonts w:eastAsia="Times New Roman" w:cs="Times New Roman"/>
          <w:b/>
          <w:bCs/>
          <w:caps/>
          <w:kern w:val="2"/>
        </w:rPr>
      </w:r>
      <w:r>
        <w:br w:type="page"/>
      </w:r>
    </w:p>
    <w:p>
      <w:pPr>
        <w:pStyle w:val="Heading1"/>
        <w:numPr>
          <w:ilvl w:val="0"/>
          <w:numId w:val="1"/>
        </w:numPr>
        <w:spacing w:lineRule="auto" w:line="276" w:before="0" w:after="100"/>
        <w:contextualSpacing/>
        <w:rPr/>
      </w:pPr>
      <w:bookmarkStart w:id="8" w:name="_Toc175167244"/>
      <w:bookmarkStart w:id="9" w:name="_Toc"/>
      <w:r>
        <w:rPr/>
        <w:t>ОБЩИЕ СВЕДЕНИЯ</w:t>
      </w:r>
      <w:bookmarkEnd w:id="8"/>
      <w:bookmarkEnd w:id="9"/>
    </w:p>
    <w:p>
      <w:pPr>
        <w:pStyle w:val="Normal"/>
        <w:tabs>
          <w:tab w:val="clear" w:pos="708"/>
          <w:tab w:val="left" w:pos="1134" w:leader="none"/>
        </w:tabs>
        <w:spacing w:before="0" w:after="200"/>
        <w:ind w:firstLine="709"/>
        <w:contextualSpacing/>
        <w:jc w:val="both"/>
        <w:rPr/>
      </w:pPr>
      <w:r>
        <w:rPr/>
        <w:t>Полное наименование: программное обеспечение системы автоматизации процессов хранения и выдачи имущества (далее Система).</w:t>
      </w:r>
    </w:p>
    <w:p>
      <w:pPr>
        <w:pStyle w:val="Heading1"/>
        <w:numPr>
          <w:ilvl w:val="0"/>
          <w:numId w:val="19"/>
        </w:numPr>
        <w:spacing w:lineRule="auto" w:line="276" w:before="100" w:after="100"/>
        <w:contextualSpacing/>
        <w:rPr/>
      </w:pPr>
      <w:bookmarkStart w:id="10" w:name="_Toc1"/>
      <w:bookmarkStart w:id="11" w:name="_Toc175167245"/>
      <w:r>
        <w:rPr>
          <w:rFonts w:eastAsia="Arial Unicode MS" w:cs="Arial Unicode MS"/>
        </w:rPr>
        <w:t>СЦЕНАРИИ ИСПОЛЬЗОВАНИЯ СИСТЕМЫ</w:t>
      </w:r>
      <w:bookmarkEnd w:id="10"/>
      <w:bookmarkEnd w:id="11"/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>Представленные сценарии работы актуальны для следующих групп пользователей: владелец бизнеса, управляющий</w:t>
      </w:r>
      <w:r>
        <w:rPr>
          <w:i/>
          <w:iCs/>
        </w:rPr>
        <w:t xml:space="preserve">, </w:t>
      </w:r>
      <w:r>
        <w:rPr/>
        <w:t>администратор</w:t>
      </w:r>
      <w:r>
        <w:rPr>
          <w:i/>
          <w:iCs/>
        </w:rPr>
        <w:t>,</w:t>
      </w:r>
      <w:r>
        <w:rPr/>
        <w:t xml:space="preserve"> представитель аэропорта. </w:t>
      </w:r>
    </w:p>
    <w:p>
      <w:pPr>
        <w:pStyle w:val="Heading2"/>
        <w:numPr>
          <w:ilvl w:val="1"/>
          <w:numId w:val="20"/>
        </w:numPr>
        <w:spacing w:before="40" w:after="0"/>
        <w:contextualSpacing/>
        <w:rPr/>
      </w:pPr>
      <w:bookmarkStart w:id="12" w:name="_Toc2"/>
      <w:r>
        <w:rPr/>
        <w:t xml:space="preserve"> </w:t>
      </w:r>
      <w:bookmarkStart w:id="13" w:name="_Toc175167246"/>
      <w:r>
        <w:rPr/>
        <w:t xml:space="preserve">Общий сценарий использования </w:t>
      </w:r>
      <w:bookmarkEnd w:id="12"/>
      <w:r>
        <w:rPr/>
        <w:t>системы</w:t>
      </w:r>
      <w:bookmarkEnd w:id="13"/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 xml:space="preserve">Для авторизации пользователю необходимо ввести логин и пароль на странице: «/login» (рисунок 1). </w:t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4624705" cy="289052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Рисунок1.</w:t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>Авторизация происходит при нажатии на кнопку «Войти» (рисунок 2).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1739900" cy="37465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 2 - кнопка «Войти».</w:t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>На странице авторизации доступна гиперссылка «Не помню логин или пароль» (рисунок 3), при нажатии на которую в правой части показывается уведомление со следующим содержанием: «Пожалуйста, обратитесь в службу поддержки» (рисунок 4).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2032000" cy="194310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 3 – кнопка «Не помню логин или пароль».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2293620" cy="393700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 4 – уведомление ««Пожалуйста, обратитесь в службу поддержки».</w:t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>После авторизации, администратору доступна: главная страница с таблицей заказов, боковым меню, окном фильтра и экспорта данных (рисунок 5).</w:t>
      </w:r>
    </w:p>
    <w:p>
      <w:pPr>
        <w:pStyle w:val="Normal"/>
        <w:spacing w:before="0" w:after="200"/>
        <w:ind w:firstLine="709"/>
        <w:contextualSpacing/>
        <w:jc w:val="both"/>
        <w:rPr>
          <w:i/>
          <w:i/>
          <w:color w:val="auto"/>
        </w:rPr>
      </w:pPr>
      <w:r>
        <w:rPr>
          <w:b/>
          <w:i/>
          <w:color w:val="auto"/>
        </w:rPr>
        <w:t xml:space="preserve">Примечание: </w:t>
      </w:r>
      <w:r>
        <w:rPr>
          <w:i/>
          <w:color w:val="auto"/>
        </w:rPr>
        <w:t>Список отображаемых элементов может отличаться в зависимости от роли пользователя и в соответствии с правилами разграничения доступа.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5949950" cy="371856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 5 – главная страница сервиса.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spacing w:before="0" w:after="200"/>
        <w:ind w:firstLine="709"/>
        <w:contextualSpacing/>
        <w:jc w:val="both"/>
        <w:rPr/>
      </w:pPr>
      <w:r>
        <w:rPr/>
        <w:t xml:space="preserve">При раскрытии бокового меню администратору камеры хранения (далее – КХ) доступны следующие разделы: </w:t>
      </w:r>
    </w:p>
    <w:p>
      <w:pPr>
        <w:pStyle w:val="Normal"/>
        <w:tabs>
          <w:tab w:val="clear" w:pos="708"/>
          <w:tab w:val="left" w:pos="1134" w:leader="none"/>
        </w:tabs>
        <w:spacing w:before="0" w:after="200"/>
        <w:ind w:firstLine="709"/>
        <w:contextualSpacing/>
        <w:rPr/>
      </w:pPr>
      <w:r>
        <w:rPr/>
        <w:t>- «Заказы»;</w:t>
      </w:r>
    </w:p>
    <w:p>
      <w:pPr>
        <w:pStyle w:val="Normal"/>
        <w:tabs>
          <w:tab w:val="clear" w:pos="708"/>
          <w:tab w:val="left" w:pos="1134" w:leader="none"/>
        </w:tabs>
        <w:spacing w:before="0" w:after="200"/>
        <w:ind w:firstLine="709"/>
        <w:contextualSpacing/>
        <w:jc w:val="both"/>
        <w:rPr/>
      </w:pPr>
      <w:r>
        <w:rPr/>
        <w:t xml:space="preserve">- «Управление данными». </w:t>
      </w:r>
    </w:p>
    <w:p>
      <w:pPr>
        <w:pStyle w:val="Normal"/>
        <w:tabs>
          <w:tab w:val="clear" w:pos="708"/>
          <w:tab w:val="left" w:pos="1134" w:leader="none"/>
        </w:tabs>
        <w:spacing w:before="0" w:after="200"/>
        <w:ind w:firstLine="709"/>
        <w:contextualSpacing/>
        <w:jc w:val="both"/>
        <w:rPr/>
      </w:pPr>
      <w:r>
        <w:rPr/>
        <w:t>Окно бокового меню представлено на рисунке 6.</w:t>
      </w:r>
    </w:p>
    <w:p>
      <w:pPr>
        <w:pStyle w:val="Normal"/>
        <w:spacing w:before="0" w:after="200"/>
        <w:ind w:firstLine="709"/>
        <w:contextualSpacing/>
        <w:rPr/>
      </w:pPr>
      <w:r>
        <w:rPr/>
        <w:t>Функции доступны пользователю с учетом разделения доступа.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1148715" cy="3411855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76" t="373" r="80172" b="-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 6 – боковое меню.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tabs>
          <w:tab w:val="clear" w:pos="708"/>
          <w:tab w:val="left" w:pos="993" w:leader="none"/>
        </w:tabs>
        <w:spacing w:beforeAutospacing="1" w:afterAutospacing="1"/>
        <w:ind w:firstLine="709"/>
        <w:contextualSpacing/>
        <w:jc w:val="both"/>
        <w:rPr/>
      </w:pPr>
      <w:r>
        <w:rPr/>
        <w:t xml:space="preserve">В разделе «Заказы» </w:t>
      </w:r>
      <w:r>
        <w:rPr>
          <w:rFonts w:eastAsia="Times New Roman"/>
          <w:color w:val="auto"/>
        </w:rPr>
        <w:t xml:space="preserve">(рисунок 7) </w:t>
      </w:r>
      <w:r>
        <w:rPr/>
        <w:t>возможно выполнение следующих функций:</w:t>
      </w:r>
    </w:p>
    <w:p>
      <w:pPr>
        <w:pStyle w:val="Normal"/>
        <w:tabs>
          <w:tab w:val="clear" w:pos="708"/>
          <w:tab w:val="left" w:pos="993" w:leader="none"/>
        </w:tabs>
        <w:spacing w:beforeAutospacing="1" w:afterAutospacing="1"/>
        <w:ind w:firstLine="709"/>
        <w:contextualSpacing/>
        <w:jc w:val="both"/>
        <w:rPr>
          <w:rFonts w:eastAsia="Times New Roman"/>
        </w:rPr>
      </w:pPr>
      <w:r>
        <w:rPr/>
        <w:t>-</w:t>
        <w:tab/>
        <w:t xml:space="preserve">просмотр </w:t>
      </w:r>
      <w:r>
        <w:rPr>
          <w:rFonts w:eastAsia="Times New Roman"/>
        </w:rPr>
        <w:t>истории операций с заказами (только статусы "выдано" и "на хранении");</w:t>
      </w:r>
    </w:p>
    <w:p>
      <w:pPr>
        <w:pStyle w:val="Normal"/>
        <w:tabs>
          <w:tab w:val="clear" w:pos="708"/>
          <w:tab w:val="left" w:pos="993" w:leader="none"/>
        </w:tabs>
        <w:spacing w:beforeAutospacing="1" w:afterAutospacing="1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  <w:tab/>
      </w:r>
      <w:r>
        <w:rPr/>
        <w:t xml:space="preserve">просмотр </w:t>
      </w:r>
      <w:r>
        <w:rPr>
          <w:rFonts w:eastAsia="Times New Roman"/>
        </w:rPr>
        <w:t>истории операций по оплате заказа;</w:t>
      </w:r>
    </w:p>
    <w:p>
      <w:pPr>
        <w:pStyle w:val="Normal"/>
        <w:tabs>
          <w:tab w:val="clear" w:pos="708"/>
          <w:tab w:val="left" w:pos="993" w:leader="none"/>
        </w:tabs>
        <w:spacing w:beforeAutospacing="1" w:afterAutospacing="1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  <w:tab/>
        <w:t>просмотр остатка имущества, находящего на хранении в КХ.</w:t>
      </w:r>
    </w:p>
    <w:p>
      <w:pPr>
        <w:pStyle w:val="Normal"/>
        <w:spacing w:beforeAutospacing="1" w:afterAutospacing="1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2635250" cy="66230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720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7 – кнопка «Заказы».</w:t>
      </w:r>
    </w:p>
    <w:p>
      <w:pPr>
        <w:pStyle w:val="Normal"/>
        <w:spacing w:before="0" w:after="0"/>
        <w:ind w:left="720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  <w:t xml:space="preserve">В разделе </w:t>
      </w:r>
      <w:r>
        <w:rPr>
          <w:rFonts w:eastAsia="Times New Roman"/>
        </w:rPr>
        <w:t xml:space="preserve">«Управление доступами» (рисунок 8) </w:t>
      </w:r>
      <w:r>
        <w:rPr/>
        <w:t>возможно выполнение следующих функций: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  <w:tab/>
        <w:t>управление сущностью КХ (создание, удаление, редактирование);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  <w:tab/>
        <w:t>редактирование тарифов в рамках КХ (создание, удаление, редактирование);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  <w:tab/>
        <w:t>отправка уведомлений пользователям сервиса.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2606040" cy="635000"/>
            <wp:effectExtent l="0" t="0" r="0" b="0"/>
            <wp:docPr id="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8 – кнопка «Управление данными».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Раздел «Заказы» является главной страницей сервиса. Информация о перечне заказов представлена пользователю в таблице с учетом разделения доступов (рисунок 9).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5781675" cy="2495550"/>
            <wp:effectExtent l="0" t="0" r="0" b="0"/>
            <wp:docPr id="9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9 - таблица раздела «Заказы».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>
          <w:rFonts w:eastAsia="Times New Roman"/>
        </w:rPr>
        <w:t>Навигация между страницами таблицы осуществляется путем нажатия на кнопки пагинации (рисунок 10).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940435" cy="552450"/>
            <wp:effectExtent l="0" t="0" r="0" b="0"/>
            <wp:docPr id="1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537" t="9108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10 – кнопки пагинации.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Выбор количества отображаемых заказов на странице осуществляется путем нажатия на кнопку с выпадающим списком значений: 5, 10, 25 (рисунок 11). По умолчанию на странице доступны 10 заказов.</w:t>
      </w:r>
    </w:p>
    <w:p>
      <w:pPr>
        <w:pStyle w:val="Normal"/>
        <w:spacing w:before="0" w:after="200"/>
        <w:ind w:firstLine="709"/>
        <w:contextualSpacing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2032000" cy="1422400"/>
            <wp:effectExtent l="0" t="0" r="0" b="0"/>
            <wp:docPr id="1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11 – функционал выбора количества отображаемых заказов.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Фильтрация заказов в таблице осуществляется функционалом, расположенном в верхней части страницы. При нажатии на кнопку «Фильтр» (рисунок 12), раскрывается окно (рисунок 13), позволяющее фильтровать отображаемые в таблице заказы по следующим параметрам: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заказы, находящиеся на хранении в зависимости от даты;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заказы, выданные, либо утилизированные в зависимости от даты;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номер заказа;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дата заказа;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статус заказа;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аэропорт, в котором имущество принято на хранение;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сотрудник, принявший заказ;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терминал аэропорта, в котором имущество принято на хранение;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вид оплаты заказа;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место оплаты заказа.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225550" cy="584200"/>
            <wp:effectExtent l="0" t="0" r="0" b="0"/>
            <wp:docPr id="1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12 – кнопка «Фильтр».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2971165" cy="1976120"/>
            <wp:effectExtent l="0" t="0" r="0" b="0"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20" t="984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13 – окно фильтров.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В верхней части страницы расположены кнопки экспорта информации, содержащейся в таблице в форматах: </w:t>
      </w:r>
    </w:p>
    <w:p>
      <w:pPr>
        <w:pStyle w:val="Normal"/>
        <w:spacing w:before="0" w:after="200"/>
        <w:ind w:firstLine="709"/>
        <w:contextualSpacing/>
        <w:rPr>
          <w:rFonts w:eastAsia="Times New Roman"/>
        </w:rPr>
      </w:pPr>
      <w:r>
        <w:rPr>
          <w:rFonts w:eastAsia="Times New Roman"/>
        </w:rPr>
        <w:t>- «.</w:t>
      </w:r>
      <w:r>
        <w:rPr>
          <w:rFonts w:eastAsia="Times New Roman"/>
          <w:lang w:val="en-US"/>
        </w:rPr>
        <w:t>XLSX</w:t>
      </w:r>
      <w:r>
        <w:rPr>
          <w:rFonts w:eastAsia="Times New Roman"/>
        </w:rPr>
        <w:t xml:space="preserve">», доступен по кнопке «Экспорт </w:t>
      </w:r>
      <w:r>
        <w:rPr>
          <w:rFonts w:eastAsia="Times New Roman"/>
          <w:lang w:val="en-US"/>
        </w:rPr>
        <w:t>XLSX</w:t>
      </w:r>
      <w:r>
        <w:rPr>
          <w:rFonts w:eastAsia="Times New Roman"/>
        </w:rPr>
        <w:t>» (рисунок 14);</w:t>
      </w:r>
    </w:p>
    <w:p>
      <w:pPr>
        <w:pStyle w:val="Normal"/>
        <w:spacing w:before="0" w:after="200"/>
        <w:ind w:firstLine="709"/>
        <w:contextualSpacing/>
        <w:rPr>
          <w:rFonts w:eastAsia="Times New Roman"/>
        </w:rPr>
      </w:pPr>
      <w:r>
        <w:rPr>
          <w:rFonts w:eastAsia="Times New Roman"/>
        </w:rPr>
        <w:t>- «.</w:t>
      </w:r>
      <w:r>
        <w:rPr>
          <w:rFonts w:eastAsia="Times New Roman"/>
          <w:lang w:val="en-US"/>
        </w:rPr>
        <w:t>CSV</w:t>
      </w:r>
      <w:r>
        <w:rPr>
          <w:rFonts w:eastAsia="Times New Roman"/>
        </w:rPr>
        <w:t xml:space="preserve">» доступен по кнопке «Экспорт </w:t>
      </w:r>
      <w:r>
        <w:rPr>
          <w:rFonts w:eastAsia="Times New Roman"/>
          <w:lang w:val="en-US"/>
        </w:rPr>
        <w:t>CSV</w:t>
      </w:r>
      <w:r>
        <w:rPr>
          <w:rFonts w:eastAsia="Times New Roman"/>
        </w:rPr>
        <w:t>» (рисунок 15).</w:t>
      </w:r>
    </w:p>
    <w:p>
      <w:pPr>
        <w:pStyle w:val="Normal"/>
        <w:spacing w:before="0" w:after="200"/>
        <w:ind w:firstLine="709"/>
        <w:contextualSpacing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574800" cy="544830"/>
            <wp:effectExtent l="0" t="0" r="0" b="0"/>
            <wp:docPr id="14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14 - кнопка экспорта в формате «</w:t>
      </w:r>
      <w:r>
        <w:rPr>
          <w:rFonts w:eastAsia="Times New Roman"/>
          <w:lang w:val="en-US"/>
        </w:rPr>
        <w:t>XLSX</w:t>
      </w:r>
      <w:r>
        <w:rPr>
          <w:rFonts w:eastAsia="Times New Roman"/>
        </w:rPr>
        <w:t>».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511300" cy="520700"/>
            <wp:effectExtent l="0" t="0" r="0" b="0"/>
            <wp:docPr id="15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15 - кнопка экспорта в формате «</w:t>
      </w:r>
      <w:r>
        <w:rPr>
          <w:rFonts w:eastAsia="Times New Roman"/>
          <w:lang w:val="en-US"/>
        </w:rPr>
        <w:t>CSV</w:t>
      </w:r>
      <w:r>
        <w:rPr>
          <w:rFonts w:eastAsia="Times New Roman"/>
        </w:rPr>
        <w:t>».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Функционал настройки отображаемых в таблице данных доступен при нажатии на кнопку «Настройка таблицы» (рисунок 16). При нажатии на кнопку «Настройка таблицы», пользователю доступен функционал (рисунок 17) включения и выключения одноименных колонок в таблице.</w:t>
      </w:r>
    </w:p>
    <w:p>
      <w:pPr>
        <w:pStyle w:val="Normal"/>
        <w:spacing w:before="0" w:after="200"/>
        <w:ind w:firstLine="709"/>
        <w:contextualSpacing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314450" cy="265430"/>
            <wp:effectExtent l="0" t="0" r="0" b="0"/>
            <wp:docPr id="1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16</w:t>
      </w:r>
      <w:r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IN"/>
        </w:rPr>
        <w:t xml:space="preserve">– </w:t>
      </w:r>
      <w:r>
        <w:rPr>
          <w:rFonts w:eastAsia="Times New Roman"/>
        </w:rPr>
        <w:t>кнопка «Настройка таблицы»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276350" cy="2374900"/>
            <wp:effectExtent l="0" t="0" r="0" b="0"/>
            <wp:docPr id="1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17 – функционал включения и выключения отображаемых колонок.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Для уточнения информации о заказе, пользователю необходимо перейти по гиперссылке, которая содержится в колонке «Номер заказа». На страницы информации о заказе пользователю доступна следующие информация: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совокупная информация о заказе (рисунок 18);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 информация об изменении статусов заказа (рисунок 19);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lang w:val="en-US"/>
        </w:rPr>
        <w:t>-</w:t>
      </w:r>
      <w:r>
        <w:rPr>
          <w:rFonts w:eastAsia="Times New Roman"/>
          <w:lang w:val="en-IN"/>
        </w:rPr>
        <w:t xml:space="preserve"> </w:t>
      </w:r>
      <w:r>
        <w:rPr>
          <w:rFonts w:eastAsia="Times New Roman"/>
        </w:rPr>
        <w:t>информация об оплате (рисунок 20).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4011295" cy="2089150"/>
            <wp:effectExtent l="0" t="0" r="0" b="0"/>
            <wp:docPr id="1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18 - совокупная информация о заказе.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3491865" cy="1809750"/>
            <wp:effectExtent l="0" t="0" r="0" b="0"/>
            <wp:docPr id="1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19 - информация об изменении статусов заказа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3387725" cy="1848485"/>
            <wp:effectExtent l="0" t="0" r="0" b="0"/>
            <wp:docPr id="20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20 - информация об оплате.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При переходе в раздел бокового меню «Управление доступами», пользователю сервиса доступен обзор имеющихся в управлении КХ, а также добавления нового КХ (рисунок 21). Для того, чтобы воспользоваться функционалом добавления КХ, необходимо нажать кнопку «Добавить» (рисунок 22). </w:t>
      </w:r>
    </w:p>
    <w:p>
      <w:pPr>
        <w:pStyle w:val="Normal"/>
        <w:spacing w:before="0" w:after="200"/>
        <w:ind w:firstLine="709"/>
        <w:contextualSpacing/>
        <w:jc w:val="both"/>
        <w:rPr>
          <w:i/>
          <w:i/>
          <w:color w:val="auto"/>
        </w:rPr>
      </w:pPr>
      <w:r>
        <w:rPr>
          <w:b/>
          <w:i/>
          <w:color w:val="auto"/>
        </w:rPr>
        <w:t xml:space="preserve">Примечание: </w:t>
      </w:r>
      <w:r>
        <w:rPr>
          <w:i/>
          <w:color w:val="auto"/>
        </w:rPr>
        <w:t>Список отображаемых элементов может отличаться в соответствии с правилами разграничения доступа.</w:t>
      </w:r>
    </w:p>
    <w:p>
      <w:pPr>
        <w:pStyle w:val="Normal"/>
        <w:spacing w:before="0" w:after="200"/>
        <w:ind w:firstLine="709"/>
        <w:contextualSpacing/>
        <w:jc w:val="both"/>
        <w:rPr>
          <w:i/>
          <w:i/>
          <w:color w:val="auto"/>
        </w:rPr>
      </w:pPr>
      <w:r>
        <w:rPr>
          <w:i/>
          <w:color w:val="auto"/>
        </w:rPr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3517900" cy="2199005"/>
            <wp:effectExtent l="0" t="0" r="0" b="0"/>
            <wp:docPr id="21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21 – страница управления доступами.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1498600" cy="431800"/>
            <wp:effectExtent l="0" t="0" r="0" b="0"/>
            <wp:docPr id="22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22 – кнопка «Добавить».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При нажатии на кнопку «Добавить» пользователю доступен функционал, обеспечивающий добавление КХ (рисунок 23).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br/>
      </w:r>
      <w:r>
        <w:rPr/>
        <w:drawing>
          <wp:inline distT="0" distB="0" distL="0" distR="0">
            <wp:extent cx="3343910" cy="1968500"/>
            <wp:effectExtent l="0" t="0" r="0" b="0"/>
            <wp:docPr id="23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  <w:t>Рисунок 23 - функционал, обеспечивающий добавление КХ.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Для добавления КХ необходимо заполнить следующие поля: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Выбрать аэропорт из доступных пользователю.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Ввести текстовой значение, обозначающее «Терминал». Поле не обязательное для ввода.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Ввести сгенерированный </w:t>
      </w:r>
      <w:r>
        <w:rPr>
          <w:rFonts w:eastAsia="Times New Roman"/>
          <w:lang w:val="en-US"/>
        </w:rPr>
        <w:t>API</w:t>
      </w:r>
      <w:r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KEY</w:t>
      </w:r>
      <w:r>
        <w:rPr>
          <w:rFonts w:eastAsia="Times New Roman"/>
        </w:rPr>
        <w:t>. Требование к надежности ключа: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- длина более 16 символов;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- наличие специальных символов;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- наличие цифр и заглавных букв.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4. Ввести координаты аэропорта в поле «Точка».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5. Выбрать состояние КХ.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Для завершения внесения данных о КХ необходимо нажать кнопку «Добавить» (рисунок 24).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736600" cy="298450"/>
            <wp:effectExtent l="0" t="0" r="0" b="0"/>
            <wp:docPr id="24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672" t="81183" r="82511" b="1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 24 – кнопка «Добавить»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rPr/>
      </w:pPr>
      <w:r>
        <w:rPr/>
        <w:t>При переходе во вкладку «Тарифы» пользователю сервиса доступен функционал добавления тарифов (рисунок 25).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4089400" cy="2486025"/>
            <wp:effectExtent l="0" t="0" r="0" b="0"/>
            <wp:docPr id="25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 25 – страница добавления тарифов.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При нажатии на кнопку «Добавить» пользователю доступен функционал создания тарифа (рисунок 26).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2677795" cy="2012950"/>
            <wp:effectExtent l="0" t="0" r="0" b="0"/>
            <wp:docPr id="2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687" r="0" b="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 26 – окно создания тарифа.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Для добавления тарифа необходимо заполнить следующие поля.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Наименование тарифа.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Ввести текстовой описание тарифа.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Выбрать размер багажа, на который распространяется тариф: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708"/>
        <w:contextualSpacing/>
        <w:jc w:val="both"/>
        <w:rPr>
          <w:rFonts w:eastAsia="Times New Roman"/>
        </w:rPr>
      </w:pPr>
      <w:r>
        <w:rPr>
          <w:rFonts w:eastAsia="Times New Roman"/>
        </w:rPr>
        <w:t>- свыше заданного значения;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708"/>
        <w:contextualSpacing/>
        <w:jc w:val="both"/>
        <w:rPr>
          <w:rFonts w:eastAsia="Times New Roman"/>
        </w:rPr>
      </w:pPr>
      <w:r>
        <w:rPr>
          <w:rFonts w:eastAsia="Times New Roman"/>
        </w:rPr>
        <w:t>- менее заданного значения;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708"/>
        <w:contextualSpacing/>
        <w:jc w:val="both"/>
        <w:rPr>
          <w:rFonts w:eastAsia="Times New Roman"/>
        </w:rPr>
      </w:pPr>
      <w:r>
        <w:rPr>
          <w:rFonts w:eastAsia="Times New Roman"/>
        </w:rPr>
        <w:t>- числовое значение величины размера (в сантиметрах).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4. Установить, либо оставить не заполненной опцию доп. защиты.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5. Ввести стоимость 1 суток. Значение вводится в копейках.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6. Ввести стоимость продления хранения, за последующие сутки. Значение вводится в копейках.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7. Выбрать аэропорт из выпадающего списка.</w:t>
      </w:r>
    </w:p>
    <w:p>
      <w:pPr>
        <w:pStyle w:val="ListParagraph"/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8. Выбрать терминал (при наличии).</w:t>
      </w:r>
    </w:p>
    <w:p>
      <w:pPr>
        <w:pStyle w:val="ListParagraph"/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Для завершения внесения сведений о тарифе необходимо нажать кнопку «Добавить» (рисунок 27).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736600" cy="298450"/>
            <wp:effectExtent l="0" t="0" r="0" b="0"/>
            <wp:docPr id="2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672" t="81183" r="82511" b="1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>Рисунок 27 – кнопка «Добавить».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/>
        <w:t>При переходе во вкладку «</w:t>
      </w:r>
      <w:r>
        <w:rPr>
          <w:lang w:val="en-US"/>
        </w:rPr>
        <w:t>Push</w:t>
      </w:r>
      <w:r>
        <w:rPr/>
        <w:t xml:space="preserve">-уведомления», пользователю сервиса доступен функционал отправки </w:t>
      </w:r>
      <w:r>
        <w:rPr>
          <w:lang w:val="en-US"/>
        </w:rPr>
        <w:t>Push</w:t>
      </w:r>
      <w:r>
        <w:rPr/>
        <w:t>-уведомлений (рисунок 28).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3753485" cy="2438400"/>
            <wp:effectExtent l="0" t="0" r="0" b="0"/>
            <wp:docPr id="28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585" t="0" r="301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 xml:space="preserve">Рисунок 28 – страница отправки </w:t>
      </w:r>
      <w:r>
        <w:rPr>
          <w:lang w:val="en-US"/>
        </w:rPr>
        <w:t>Push</w:t>
      </w:r>
      <w:r>
        <w:rPr/>
        <w:t>-уведомлений.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При нажатии на кнопку «Добавить» пользователю доступен функционал обеспечивающий добавление </w:t>
      </w:r>
      <w:r>
        <w:rPr>
          <w:lang w:val="en-US"/>
        </w:rPr>
        <w:t>Push</w:t>
      </w:r>
      <w:r>
        <w:rPr/>
        <w:t>-уведомления</w:t>
      </w:r>
      <w:r>
        <w:rPr>
          <w:rFonts w:eastAsia="Times New Roman"/>
        </w:rPr>
        <w:t xml:space="preserve"> (рисунок 29).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drawing>
          <wp:inline distT="0" distB="0" distL="0" distR="0">
            <wp:extent cx="3714750" cy="1200150"/>
            <wp:effectExtent l="0" t="0" r="0" b="0"/>
            <wp:docPr id="29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1" t="903" r="301" b="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  <w:t xml:space="preserve">Рисунок 29 – окно отправки </w:t>
      </w:r>
      <w:r>
        <w:rPr>
          <w:lang w:val="en-US"/>
        </w:rPr>
        <w:t>Push</w:t>
      </w:r>
      <w:r>
        <w:rPr/>
        <w:t>-уведомлений.</w:t>
      </w:r>
    </w:p>
    <w:p>
      <w:pPr>
        <w:pStyle w:val="Normal"/>
        <w:spacing w:before="0" w:after="200"/>
        <w:ind w:firstLine="709"/>
        <w:contextualSpacing/>
        <w:jc w:val="center"/>
        <w:rPr/>
      </w:pPr>
      <w:r>
        <w:rPr/>
      </w:r>
    </w:p>
    <w:p>
      <w:pPr>
        <w:pStyle w:val="Normal"/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Для добавления </w:t>
      </w:r>
      <w:r>
        <w:rPr>
          <w:lang w:val="en-US"/>
        </w:rPr>
        <w:t>Push</w:t>
      </w:r>
      <w:r>
        <w:rPr/>
        <w:t>-уведомления</w:t>
      </w:r>
      <w:r>
        <w:rPr>
          <w:rFonts w:eastAsia="Times New Roman"/>
        </w:rPr>
        <w:t xml:space="preserve"> необходимо заполнить следующие поля.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Заголовок уведомления.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93" w:leader="none"/>
        </w:tabs>
        <w:spacing w:before="0" w:after="200"/>
        <w:ind w:firstLine="709" w:left="0"/>
        <w:contextualSpacing/>
        <w:jc w:val="both"/>
        <w:rPr>
          <w:rFonts w:eastAsia="Times New Roman"/>
        </w:rPr>
      </w:pPr>
      <w:r>
        <w:rPr>
          <w:rFonts w:eastAsia="Times New Roman"/>
        </w:rPr>
        <w:t>Тело сообщения. Допустимы добавление специальных символов «</w:t>
      </w:r>
      <w:r>
        <w:rPr>
          <w:rFonts w:eastAsia="Times New Roman"/>
          <w:lang w:val="en-US"/>
        </w:rPr>
        <w:t>Emoji</w:t>
      </w:r>
      <w:r>
        <w:rPr>
          <w:rFonts w:eastAsia="Times New Roman"/>
        </w:rPr>
        <w:t>».</w:t>
      </w:r>
    </w:p>
    <w:p>
      <w:pPr>
        <w:pStyle w:val="Normal"/>
        <w:spacing w:before="0" w:after="200"/>
        <w:ind w:firstLine="709" w:right="-42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Для завершения отправки </w:t>
      </w:r>
      <w:r>
        <w:rPr>
          <w:rFonts w:eastAsia="Times New Roman"/>
          <w:lang w:val="en-US"/>
        </w:rPr>
        <w:t>Push</w:t>
      </w:r>
      <w:r>
        <w:rPr>
          <w:rFonts w:eastAsia="Times New Roman"/>
        </w:rPr>
        <w:t>-уведомления необходимо нажать кнопку «Отправить» (рисунок 30).</w:t>
      </w:r>
    </w:p>
    <w:p>
      <w:pPr>
        <w:pStyle w:val="ListParagraph"/>
        <w:spacing w:before="0" w:after="200"/>
        <w:ind w:left="1069"/>
        <w:contextualSpacing/>
        <w:jc w:val="center"/>
        <w:rPr/>
      </w:pPr>
      <w:r>
        <w:rPr/>
        <w:drawing>
          <wp:inline distT="0" distB="0" distL="0" distR="0">
            <wp:extent cx="527050" cy="222250"/>
            <wp:effectExtent l="0" t="0" r="0" b="0"/>
            <wp:docPr id="3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401" t="64109" r="80426" b="1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200"/>
        <w:ind w:left="1069"/>
        <w:contextualSpacing/>
        <w:jc w:val="center"/>
        <w:rPr/>
      </w:pPr>
      <w:r>
        <w:rPr/>
        <w:t>Рисунок 30 – кнопка «Отправить».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jc w:val="both"/>
        <w:rPr/>
      </w:pPr>
      <w:r>
        <w:rPr/>
        <w:t>Для управления общими данными необходимо перейти в раздел бокового меню «Управление системой» (рисунок 31). Данный раздел содержит несколько видов данных: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1134" w:leader="none"/>
        </w:tabs>
        <w:spacing w:before="0" w:after="0"/>
        <w:jc w:val="both"/>
        <w:rPr/>
      </w:pPr>
      <w:r>
        <w:rPr/>
        <w:t>страны;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1134" w:leader="none"/>
        </w:tabs>
        <w:spacing w:before="0" w:after="0"/>
        <w:jc w:val="both"/>
        <w:rPr/>
      </w:pPr>
      <w:r>
        <w:rPr/>
        <w:t>города;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1134" w:leader="none"/>
        </w:tabs>
        <w:spacing w:before="0" w:after="0"/>
        <w:jc w:val="both"/>
        <w:rPr/>
      </w:pPr>
      <w:r>
        <w:rPr/>
        <w:t xml:space="preserve">аэропорты. 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jc w:val="both"/>
        <w:rPr/>
      </w:pPr>
      <w:r>
        <w:rPr/>
        <w:t>Для добавления новых объектов в верхней части страницы раздела категорий данных необходимо нажать кнопку "Добавить". На строке объекта доступны: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1134" w:leader="none"/>
        </w:tabs>
        <w:spacing w:before="0" w:after="0"/>
        <w:jc w:val="both"/>
        <w:rPr/>
      </w:pPr>
      <w:r>
        <w:rPr/>
        <w:t>кнопка редактирования (рисунок 32)</w:t>
      </w:r>
      <w:r>
        <w:rPr>
          <w:lang w:val="en-ID"/>
        </w:rPr>
        <w:t>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1134" w:leader="none"/>
        </w:tabs>
        <w:spacing w:before="0" w:after="0"/>
        <w:jc w:val="both"/>
        <w:rPr/>
      </w:pPr>
      <w:r>
        <w:rPr/>
        <w:t>кнопка удаления (рисунок 33).</w:t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jc w:val="center"/>
        <w:rPr>
          <w:rFonts w:cs="Times New Roman"/>
        </w:rPr>
      </w:pPr>
      <w:r>
        <w:rPr/>
        <w:drawing>
          <wp:inline distT="0" distB="0" distL="0" distR="0">
            <wp:extent cx="4491990" cy="2552700"/>
            <wp:effectExtent l="0" t="0" r="0" b="0"/>
            <wp:docPr id="3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31 – Окно управления данными</w:t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center"/>
        <w:rPr/>
      </w:pPr>
      <w:r>
        <w:rPr/>
        <w:drawing>
          <wp:inline distT="0" distB="0" distL="0" distR="0">
            <wp:extent cx="631825" cy="534035"/>
            <wp:effectExtent l="0" t="0" r="0" b="0"/>
            <wp:docPr id="3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14244" r="654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32 – Кнопка редактирования</w:t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center"/>
        <w:rPr/>
      </w:pPr>
      <w:r>
        <w:rPr/>
        <w:drawing>
          <wp:inline distT="0" distB="0" distL="0" distR="0">
            <wp:extent cx="576580" cy="546100"/>
            <wp:effectExtent l="0" t="0" r="0" b="0"/>
            <wp:docPr id="3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21854" r="987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33 – Кнопка удаления</w:t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  <w:t>При добавлении новой категории данных появится форма для ввода информации о новой категории данных и редактирования (рисунки 34-36).</w:t>
      </w:r>
    </w:p>
    <w:p>
      <w:pPr>
        <w:pStyle w:val="Normal"/>
        <w:tabs>
          <w:tab w:val="clear" w:pos="708"/>
          <w:tab w:val="left" w:pos="1134" w:leader="none"/>
        </w:tabs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jc w:val="center"/>
        <w:rPr/>
      </w:pPr>
      <w:r>
        <w:rPr/>
        <w:drawing>
          <wp:inline distT="0" distB="0" distL="0" distR="0">
            <wp:extent cx="4062730" cy="1331595"/>
            <wp:effectExtent l="0" t="0" r="0" b="0"/>
            <wp:docPr id="3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04" t="0" r="877" b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Рисунок 34 – Форма заполнения категории «Страна»</w:t>
      </w:r>
    </w:p>
    <w:p>
      <w:pPr>
        <w:pStyle w:val="Normal"/>
        <w:tabs>
          <w:tab w:val="clear" w:pos="708"/>
          <w:tab w:val="left" w:pos="1134" w:leader="none"/>
        </w:tabs>
        <w:jc w:val="center"/>
        <w:rPr/>
      </w:pPr>
      <w:r>
        <w:rPr/>
        <w:drawing>
          <wp:inline distT="0" distB="0" distL="0" distR="0">
            <wp:extent cx="4081145" cy="1577340"/>
            <wp:effectExtent l="0" t="0" r="0" b="0"/>
            <wp:docPr id="3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10" t="3504" r="1689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35 – Форма заполнения категории «Город»</w:t>
      </w:r>
    </w:p>
    <w:p>
      <w:pPr>
        <w:pStyle w:val="Normal"/>
        <w:tabs>
          <w:tab w:val="clear" w:pos="708"/>
          <w:tab w:val="left" w:pos="1134" w:leader="none"/>
        </w:tabs>
        <w:jc w:val="center"/>
        <w:rPr/>
      </w:pPr>
      <w:r>
        <w:rPr/>
        <w:drawing>
          <wp:inline distT="0" distB="0" distL="0" distR="0">
            <wp:extent cx="3049905" cy="3909060"/>
            <wp:effectExtent l="0" t="0" r="0" b="0"/>
            <wp:docPr id="36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0" t="621" r="678" b="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36 – Форма заполнения категории «Аэропорт»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jc w:val="both"/>
        <w:rPr/>
      </w:pPr>
      <w:r>
        <w:rPr/>
        <w:t>После проверки правильности ввода информации пользователь нажимает на кнопку «Добавить». В случае необходимости очистить поля ввода пользователь может нажать на кнопку «Сбросить».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jc w:val="both"/>
        <w:rPr/>
      </w:pPr>
      <w:bookmarkStart w:id="14" w:name="_Hlk173917356"/>
      <w:r>
        <w:rPr/>
        <w:t xml:space="preserve">Для управления пользователями необходимо в боковом меню выбрать пункт "Управление системой" </w:t>
      </w:r>
      <w:r>
        <w:rPr>
          <w:rFonts w:cs="Times New Roman"/>
        </w:rPr>
        <w:t>→ «Управление пользователями» (рисунок 37)</w:t>
      </w:r>
      <w:r>
        <w:rPr/>
        <w:t xml:space="preserve">. Раздел обеспечивает функции управления учетными записями пользователей, контроля доступа и обеспечения безопасности данных в информационной системе. </w:t>
      </w:r>
      <w:bookmarkEnd w:id="14"/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jc w:val="both"/>
        <w:rPr/>
      </w:pPr>
      <w:r>
        <w:rPr/>
        <w:t>Основные функции управления пользователями:</w:t>
      </w:r>
    </w:p>
    <w:p>
      <w:pPr>
        <w:pStyle w:val="ListParagraph"/>
        <w:numPr>
          <w:ilvl w:val="0"/>
          <w:numId w:val="21"/>
        </w:numPr>
        <w:tabs>
          <w:tab w:val="clear" w:pos="708"/>
          <w:tab w:val="left" w:pos="1134" w:leader="none"/>
        </w:tabs>
        <w:spacing w:before="0" w:after="0"/>
        <w:contextualSpacing/>
        <w:jc w:val="both"/>
        <w:rPr/>
      </w:pPr>
      <w:r>
        <w:rPr/>
        <w:t>Регистрация, редактирование и удаление учетных записей пользователей;</w:t>
      </w:r>
    </w:p>
    <w:p>
      <w:pPr>
        <w:pStyle w:val="ListParagraph"/>
        <w:numPr>
          <w:ilvl w:val="0"/>
          <w:numId w:val="22"/>
        </w:numPr>
        <w:tabs>
          <w:tab w:val="clear" w:pos="708"/>
          <w:tab w:val="left" w:pos="1134" w:leader="none"/>
        </w:tabs>
        <w:spacing w:before="0" w:after="200"/>
        <w:contextualSpacing/>
        <w:jc w:val="both"/>
        <w:rPr/>
      </w:pPr>
      <w:r>
        <w:rPr/>
        <w:t>Аутентификация пользователей;</w:t>
      </w:r>
    </w:p>
    <w:p>
      <w:pPr>
        <w:pStyle w:val="ListParagraph"/>
        <w:numPr>
          <w:ilvl w:val="0"/>
          <w:numId w:val="23"/>
        </w:numPr>
        <w:tabs>
          <w:tab w:val="clear" w:pos="708"/>
          <w:tab w:val="left" w:pos="1134" w:leader="none"/>
        </w:tabs>
        <w:spacing w:before="0" w:after="200"/>
        <w:contextualSpacing/>
        <w:jc w:val="both"/>
        <w:rPr/>
      </w:pPr>
      <w:r>
        <w:rPr/>
        <w:t>Авторизация и управление правами доступа;</w:t>
      </w:r>
    </w:p>
    <w:p>
      <w:pPr>
        <w:pStyle w:val="ListParagraph"/>
        <w:numPr>
          <w:ilvl w:val="0"/>
          <w:numId w:val="24"/>
        </w:numPr>
        <w:tabs>
          <w:tab w:val="clear" w:pos="708"/>
          <w:tab w:val="left" w:pos="1134" w:leader="none"/>
        </w:tabs>
        <w:spacing w:before="0" w:after="0"/>
        <w:contextualSpacing/>
        <w:jc w:val="both"/>
        <w:rPr>
          <w:rFonts w:cs="Times New Roman"/>
        </w:rPr>
      </w:pPr>
      <w:r>
        <w:rPr/>
        <w:t>Управление паролями;</w:t>
      </w:r>
    </w:p>
    <w:p>
      <w:pPr>
        <w:pStyle w:val="Normal"/>
        <w:spacing w:before="0" w:after="0"/>
        <w:ind w:firstLine="709"/>
        <w:jc w:val="both"/>
        <w:rPr/>
      </w:pPr>
      <w:r>
        <w:rPr/>
        <w:t>Для добавления новых пользователей и управления правами доступа в верхней части страницы раздела необходимо найти и нажать кнопку "Добавить".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rPr>
          <w:rFonts w:cs="Times New Roman"/>
        </w:rPr>
      </w:pPr>
      <w:r>
        <w:rPr/>
        <w:drawing>
          <wp:inline distT="0" distB="0" distL="0" distR="0">
            <wp:extent cx="6271895" cy="3571875"/>
            <wp:effectExtent l="0" t="0" r="0" b="0"/>
            <wp:docPr id="37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jc w:val="center"/>
        <w:rPr/>
      </w:pPr>
      <w:r>
        <w:rPr/>
        <w:t>Рисунок 37 – Окно управления пользователями</w:t>
      </w:r>
    </w:p>
    <w:p>
      <w:pPr>
        <w:pStyle w:val="ListParagraph"/>
        <w:spacing w:before="0" w:after="200"/>
        <w:ind w:left="1069"/>
        <w:contextualSpacing/>
        <w:jc w:val="center"/>
        <w:rPr/>
      </w:pPr>
      <w:r>
        <w:rPr/>
      </w:r>
    </w:p>
    <w:p>
      <w:pPr>
        <w:pStyle w:val="Heading2"/>
        <w:tabs>
          <w:tab w:val="clear" w:pos="708"/>
          <w:tab w:val="left" w:pos="1134" w:leader="none"/>
        </w:tabs>
        <w:spacing w:before="40" w:after="0"/>
        <w:ind w:firstLine="709"/>
        <w:contextualSpacing/>
        <w:rPr/>
      </w:pPr>
      <w:bookmarkStart w:id="15" w:name="_Toc175167247"/>
      <w:bookmarkStart w:id="16" w:name="_Toc3"/>
      <w:r>
        <w:rPr/>
        <w:t>2.2 Сценарий использования Администратором</w:t>
      </w:r>
      <w:bookmarkEnd w:id="15"/>
      <w:bookmarkEnd w:id="16"/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Администратор – пользователь системы с функциями управления данными, выдачи доступов сотрудникам, а также просмотра сведений о заказе в рамках одного или нескольких </w:t>
      </w:r>
      <w:r>
        <w:rPr>
          <w:rStyle w:val="Strong"/>
          <w:rFonts w:eastAsia="Times New Roman"/>
          <w:b w:val="false"/>
          <w:bCs w:val="false"/>
        </w:rPr>
        <w:t>сервисов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 xml:space="preserve">в пределах </w:t>
      </w:r>
      <w:r>
        <w:rPr>
          <w:rStyle w:val="Strong"/>
          <w:rFonts w:eastAsia="Times New Roman"/>
          <w:b w:val="false"/>
          <w:bCs w:val="false"/>
        </w:rPr>
        <w:t>одного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>аэропорта (рисунок 38).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4326890" cy="1760855"/>
            <wp:effectExtent l="0" t="0" r="0" b="0"/>
            <wp:docPr id="38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38 – Зона ответственности Администратора.</w:t>
      </w:r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>
          <w:rFonts w:eastAsia="Times New Roman"/>
        </w:rPr>
        <w:t>Сценарий использования сервиса Администратором аналогичен общему сценарию использования с учетом вышеуказанных ограничений по зоне ответственности.</w:t>
      </w:r>
    </w:p>
    <w:p>
      <w:pPr>
        <w:pStyle w:val="Heading2"/>
        <w:numPr>
          <w:ilvl w:val="1"/>
          <w:numId w:val="7"/>
        </w:numPr>
        <w:tabs>
          <w:tab w:val="clear" w:pos="708"/>
          <w:tab w:val="left" w:pos="1134" w:leader="none"/>
        </w:tabs>
        <w:ind w:firstLine="709" w:left="0"/>
        <w:rPr/>
      </w:pPr>
      <w:bookmarkStart w:id="17" w:name="_Toc175167248"/>
      <w:r>
        <w:rPr/>
        <w:t>Сценарий использования Управляющим</w:t>
      </w:r>
      <w:bookmarkEnd w:id="17"/>
    </w:p>
    <w:p>
      <w:pPr>
        <w:pStyle w:val="Normal"/>
        <w:tabs>
          <w:tab w:val="clear" w:pos="708"/>
          <w:tab w:val="left" w:pos="993" w:leader="none"/>
        </w:tabs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Управляющий – пользователь системы с функциями управления данными, выдачи доступов сотрудникам, а также просмотра сведений о заказе в рамках одного или нескольких </w:t>
      </w:r>
      <w:r>
        <w:rPr>
          <w:rStyle w:val="Strong"/>
          <w:rFonts w:eastAsia="Times New Roman"/>
          <w:b w:val="false"/>
          <w:bCs w:val="false"/>
        </w:rPr>
        <w:t>сервисов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 xml:space="preserve">в пределах </w:t>
      </w:r>
      <w:r>
        <w:rPr>
          <w:rStyle w:val="Strong"/>
          <w:rFonts w:eastAsia="Times New Roman"/>
          <w:b w:val="false"/>
          <w:bCs w:val="false"/>
        </w:rPr>
        <w:t>одного или нескольких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>аэропортов (рисунок 39).</w:t>
      </w:r>
    </w:p>
    <w:p>
      <w:pPr>
        <w:pStyle w:val="Normal"/>
        <w:tabs>
          <w:tab w:val="clear" w:pos="708"/>
          <w:tab w:val="left" w:pos="993" w:leader="none"/>
        </w:tabs>
        <w:ind w:firstLine="709"/>
        <w:jc w:val="center"/>
        <w:rPr/>
      </w:pPr>
      <w:r>
        <w:rPr/>
        <w:drawing>
          <wp:inline distT="0" distB="0" distL="0" distR="0">
            <wp:extent cx="4351020" cy="1934845"/>
            <wp:effectExtent l="0" t="0" r="0" b="0"/>
            <wp:docPr id="39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39 – Зона ответственности Управляющего.</w:t>
      </w:r>
    </w:p>
    <w:p>
      <w:pPr>
        <w:pStyle w:val="Normal"/>
        <w:tabs>
          <w:tab w:val="clear" w:pos="708"/>
          <w:tab w:val="left" w:pos="993" w:leader="none"/>
        </w:tabs>
        <w:ind w:firstLine="709"/>
        <w:jc w:val="center"/>
        <w:rPr/>
      </w:pPr>
      <w:r>
        <w:rPr/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>
          <w:rFonts w:eastAsia="Times New Roman"/>
        </w:rPr>
        <w:t>Сценарий использования сервиса Управляющим аналогичен общему сценарию использования с учетом вышеуказанных ограничений по зоне ответственности.</w:t>
      </w:r>
    </w:p>
    <w:p>
      <w:pPr>
        <w:pStyle w:val="Normal"/>
        <w:tabs>
          <w:tab w:val="clear" w:pos="708"/>
          <w:tab w:val="left" w:pos="993" w:leader="none"/>
        </w:tabs>
        <w:ind w:firstLine="709"/>
        <w:jc w:val="center"/>
        <w:rPr/>
      </w:pPr>
      <w:r>
        <w:rPr/>
      </w:r>
    </w:p>
    <w:p>
      <w:pPr>
        <w:pStyle w:val="Heading2"/>
        <w:numPr>
          <w:ilvl w:val="1"/>
          <w:numId w:val="7"/>
        </w:numPr>
        <w:tabs>
          <w:tab w:val="clear" w:pos="708"/>
          <w:tab w:val="left" w:pos="1134" w:leader="none"/>
        </w:tabs>
        <w:ind w:firstLine="709" w:left="0"/>
        <w:rPr/>
      </w:pPr>
      <w:bookmarkStart w:id="18" w:name="_Toc175167249"/>
      <w:bookmarkStart w:id="19" w:name="_Toc4"/>
      <w:r>
        <w:rPr/>
        <w:t>Сценарий использования Владельцем бизнеса</w:t>
      </w:r>
      <w:bookmarkEnd w:id="18"/>
      <w:bookmarkEnd w:id="19"/>
    </w:p>
    <w:p>
      <w:pPr>
        <w:pStyle w:val="Normal"/>
        <w:spacing w:before="0" w:after="20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Владелец бизнеса – пользователь системы с функциями управления данными, выдачи доступов сотрудникам, а также просмотра сведений о заказе в рамках всех </w:t>
      </w:r>
      <w:r>
        <w:rPr>
          <w:rStyle w:val="Strong"/>
          <w:rFonts w:eastAsia="Times New Roman"/>
          <w:b w:val="false"/>
          <w:bCs w:val="false"/>
        </w:rPr>
        <w:t>сервисов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 xml:space="preserve">в пределах </w:t>
      </w:r>
      <w:r>
        <w:rPr>
          <w:rStyle w:val="Strong"/>
          <w:rFonts w:eastAsia="Times New Roman"/>
          <w:b w:val="false"/>
          <w:bCs w:val="false"/>
        </w:rPr>
        <w:t>всех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>аэропортов (рисунок 40).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/>
        <w:drawing>
          <wp:inline distT="0" distB="0" distL="0" distR="0">
            <wp:extent cx="4286885" cy="1843405"/>
            <wp:effectExtent l="0" t="0" r="0" b="0"/>
            <wp:docPr id="40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40 – Зона ответственности Владельца бизнеса.</w:t>
      </w:r>
    </w:p>
    <w:p>
      <w:pPr>
        <w:pStyle w:val="Normal"/>
        <w:spacing w:before="0" w:after="200"/>
        <w:ind w:firstLine="709"/>
        <w:contextualSpacing/>
        <w:jc w:val="center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pacing w:before="0" w:after="200"/>
        <w:ind w:firstLine="709"/>
        <w:contextualSpacing/>
        <w:jc w:val="both"/>
        <w:rPr/>
      </w:pPr>
      <w:r>
        <w:rPr>
          <w:rFonts w:eastAsia="Times New Roman"/>
        </w:rPr>
        <w:t>Сценарий использования сервиса Владельцем бизнеса аналогичен общему сценарию использования с учетом вышеуказанных ограничений по зоне ответственности.</w:t>
      </w:r>
    </w:p>
    <w:p>
      <w:pPr>
        <w:pStyle w:val="Normal"/>
        <w:tabs>
          <w:tab w:val="clear" w:pos="708"/>
          <w:tab w:val="left" w:pos="1276" w:leader="none"/>
        </w:tabs>
        <w:spacing w:before="0" w:after="200"/>
        <w:ind w:firstLine="709"/>
        <w:contextualSpacing/>
        <w:rPr/>
      </w:pPr>
      <w:r>
        <w:rPr/>
      </w:r>
    </w:p>
    <w:p>
      <w:pPr>
        <w:pStyle w:val="Heading2"/>
        <w:numPr>
          <w:ilvl w:val="1"/>
          <w:numId w:val="7"/>
        </w:numPr>
        <w:tabs>
          <w:tab w:val="clear" w:pos="708"/>
          <w:tab w:val="left" w:pos="1134" w:leader="none"/>
        </w:tabs>
        <w:spacing w:before="40" w:after="0"/>
        <w:ind w:firstLine="709" w:left="0"/>
        <w:contextualSpacing/>
        <w:rPr/>
      </w:pPr>
      <w:bookmarkStart w:id="20" w:name="_Toc5"/>
      <w:bookmarkStart w:id="21" w:name="_Toc175167250"/>
      <w:r>
        <w:rPr/>
        <w:t>Сценарий использования представителем аэропорта</w:t>
      </w:r>
      <w:bookmarkEnd w:id="20"/>
      <w:bookmarkEnd w:id="21"/>
    </w:p>
    <w:p>
      <w:pPr>
        <w:pStyle w:val="Normal"/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Представитель аэропорта - пользователь системы с функциями просмотра сведений о заказе в рамках одного или нескольких </w:t>
      </w:r>
      <w:r>
        <w:rPr>
          <w:rStyle w:val="Strong"/>
          <w:rFonts w:eastAsia="Times New Roman"/>
          <w:b w:val="false"/>
          <w:bCs w:val="false"/>
        </w:rPr>
        <w:t>сервисов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 xml:space="preserve">в пределах </w:t>
      </w:r>
      <w:r>
        <w:rPr>
          <w:rStyle w:val="Strong"/>
          <w:rFonts w:eastAsia="Times New Roman"/>
          <w:b w:val="false"/>
          <w:bCs w:val="false"/>
        </w:rPr>
        <w:t>одного или нескольких</w:t>
      </w:r>
      <w:r>
        <w:rPr>
          <w:rStyle w:val="Strong"/>
          <w:rFonts w:eastAsia="Times New Roman"/>
        </w:rPr>
        <w:t xml:space="preserve"> </w:t>
      </w:r>
      <w:r>
        <w:rPr>
          <w:rFonts w:eastAsia="Times New Roman"/>
        </w:rPr>
        <w:t>аэропортов (рисунок 39).</w:t>
      </w:r>
    </w:p>
    <w:p>
      <w:pPr>
        <w:pStyle w:val="Normal"/>
        <w:spacing w:before="0" w:after="0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Сценарий использования сервиса Представителем аэропорта аналогичен общему сценарию использования, описанному выше, однако имеет следующие особенности: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40" w:beforeAutospacing="1" w:after="0"/>
        <w:ind w:firstLine="709" w:left="0"/>
        <w:rPr>
          <w:rFonts w:eastAsia="Times New Roman"/>
        </w:rPr>
      </w:pPr>
      <w:r>
        <w:rPr>
          <w:rFonts w:eastAsia="Times New Roman"/>
        </w:rPr>
        <w:t>Пользователю доступна история операций с заказами.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40" w:before="0" w:after="0"/>
        <w:ind w:firstLine="709" w:left="0"/>
        <w:rPr>
          <w:rFonts w:eastAsia="Times New Roman"/>
        </w:rPr>
      </w:pPr>
      <w:r>
        <w:rPr>
          <w:rFonts w:eastAsia="Times New Roman"/>
        </w:rPr>
        <w:t>Отсутствует возможность просмотра персональных данных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40" w:before="0" w:afterAutospacing="1"/>
        <w:ind w:firstLine="709" w:left="0"/>
        <w:rPr>
          <w:rFonts w:eastAsia="Times New Roman"/>
        </w:rPr>
      </w:pPr>
      <w:r>
        <w:rPr>
          <w:rFonts w:eastAsia="Times New Roman"/>
        </w:rPr>
        <w:t>Возможен просмотр истории операций по оплате</w:t>
      </w:r>
      <w:r>
        <w:rPr>
          <w:rFonts w:eastAsia="Times New Roman"/>
          <w:strike/>
        </w:rPr>
        <w:t>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Autospacing="1" w:afterAutospacing="1"/>
        <w:ind w:left="709"/>
        <w:rPr>
          <w:rFonts w:eastAsia="Times New Roman"/>
        </w:rPr>
      </w:pPr>
      <w:r>
        <w:rPr>
          <w:rFonts w:eastAsia="Times New Roman"/>
        </w:rPr>
      </w:r>
    </w:p>
    <w:p>
      <w:pPr>
        <w:pStyle w:val="Heading1"/>
        <w:numPr>
          <w:ilvl w:val="0"/>
          <w:numId w:val="25"/>
        </w:numPr>
        <w:spacing w:lineRule="auto" w:line="276" w:before="100" w:after="100"/>
        <w:contextualSpacing/>
        <w:rPr/>
      </w:pPr>
      <w:bookmarkStart w:id="22" w:name="_Toc6"/>
      <w:bookmarkStart w:id="23" w:name="_Toc175167251"/>
      <w:r>
        <w:rPr>
          <w:rFonts w:eastAsia="Arial Unicode MS" w:cs="Arial Unicode MS"/>
        </w:rPr>
        <w:t xml:space="preserve">Требования к </w:t>
      </w:r>
      <w:bookmarkStart w:id="24" w:name="OLE_LINK23"/>
      <w:r>
        <w:rPr>
          <w:rFonts w:eastAsia="Arial Unicode MS" w:cs="Arial Unicode MS"/>
        </w:rPr>
        <w:t>к</w:t>
      </w:r>
      <w:bookmarkStart w:id="25" w:name="OLE_LINK24"/>
      <w:bookmarkEnd w:id="24"/>
      <w:r>
        <w:rPr>
          <w:rFonts w:eastAsia="Arial Unicode MS" w:cs="Arial Unicode MS"/>
        </w:rPr>
        <w:t>валификации</w:t>
      </w:r>
      <w:bookmarkEnd w:id="25"/>
      <w:r>
        <w:rPr>
          <w:rFonts w:eastAsia="Arial Unicode MS" w:cs="Arial Unicode MS"/>
        </w:rPr>
        <w:t xml:space="preserve"> администраторов системы</w:t>
      </w:r>
      <w:bookmarkEnd w:id="22"/>
      <w:bookmarkEnd w:id="23"/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contextualSpacing/>
        <w:jc w:val="both"/>
        <w:rPr/>
      </w:pPr>
      <w:r>
        <w:rPr/>
        <w:t>При эксплуатации и поддержке разработанной Системы не требуется наличие высококвалифицированного персонала, обладающего опытом в области создания программного обеспечения.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contextualSpacing/>
        <w:jc w:val="both"/>
        <w:rPr/>
      </w:pPr>
      <w:r>
        <w:rPr/>
        <w:t>Администраторы системы должны иметь базовые навыки и знания в области информационных технологий, опыт работы с программным обеспечением, а также иметь представление об организованных бизнес-процессах компании.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contextualSpacing/>
        <w:jc w:val="both"/>
        <w:rPr/>
      </w:pPr>
      <w:r>
        <w:rPr/>
        <w:t>Структура и конфигурация Системы должны быть предельно простыми и интуитивно понятными, чтобы администратор мог легко освоить базовые задачи управления.</w:t>
      </w:r>
    </w:p>
    <w:p>
      <w:pPr>
        <w:pStyle w:val="Normal"/>
        <w:tabs>
          <w:tab w:val="clear" w:pos="708"/>
          <w:tab w:val="left" w:pos="1134" w:leader="none"/>
        </w:tabs>
        <w:spacing w:before="0" w:after="0"/>
        <w:ind w:firstLine="709"/>
        <w:contextualSpacing/>
        <w:jc w:val="both"/>
        <w:rPr/>
      </w:pPr>
      <w:r>
        <w:rPr/>
        <w:t>Численность и квалификация персонала Системы должны определяться с учетом следующих требований: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/>
      </w:pPr>
      <w:r>
        <w:rPr/>
        <w:t>структура и конфигурация Системы должны быть спроектированы и реализованы с целью минимизации количественного состава обслуживающего персонала;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/>
      </w:pPr>
      <w:r>
        <w:rPr/>
        <w:t>структура Системы должна предоставлять возможность разделения ответственности по администрированию между несколькими администраторами.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  <w:t>Для администрирования Системы к администратору не должны предъявляться требования по знанию всех особенностей функционирования элементов, входящих в состав администрируемых компонентов Системы. Система должна предоставлять простой интерфейс для базовых административных функций.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  <w:t>Таким образом, требования к квалификации администраторов сосредоточены на обеспечении доступности и понятности процесса управления системой даже для специалистов с базовым уровнем квалификации.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</w:r>
    </w:p>
    <w:p>
      <w:pPr>
        <w:pStyle w:val="Heading1"/>
        <w:spacing w:lineRule="auto" w:line="276" w:before="100" w:after="100"/>
        <w:contextualSpacing/>
        <w:rPr/>
      </w:pPr>
      <w:bookmarkStart w:id="26" w:name="_Toc7"/>
      <w:r>
        <w:rPr>
          <w:rFonts w:eastAsia="Arial Unicode MS" w:cs="Arial Unicode MS"/>
        </w:rPr>
        <w:t>Сценарий УСТАНОВКИ СИСТЕМЫ</w:t>
      </w:r>
      <w:bookmarkEnd w:id="26"/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425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contextualSpacing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32"/>
          <w:szCs w:val="32"/>
        </w:rPr>
        <w:t>Системные требования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Для запуска приложения может быть использована любая операционная система, которая поддерживает ПО «</w:t>
      </w:r>
      <w:r>
        <w:rPr>
          <w:rFonts w:cs="Times New Roman"/>
          <w:sz w:val="28"/>
          <w:szCs w:val="28"/>
          <w:lang w:val="en-US"/>
        </w:rPr>
        <w:t>VirtualBox</w:t>
      </w:r>
      <w:r>
        <w:rPr>
          <w:rFonts w:cs="Times New Roman"/>
          <w:sz w:val="28"/>
          <w:szCs w:val="28"/>
        </w:rPr>
        <w:t xml:space="preserve">». Для запуска и корректной работы приложения необходим ПЭВМ с архитектурой x86-64 со следующими минимальными характеристиками: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ЦПУ 4;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6 Гб оперативной памяти;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100 Гб HDD.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72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contextualSpacing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32"/>
          <w:szCs w:val="32"/>
        </w:rPr>
        <w:t xml:space="preserve">Процесс подготовки к запуску 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32"/>
          <w:szCs w:val="32"/>
        </w:rPr>
        <w:t>Предварительные требования к программному обеспечению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Для установки Системы необходима предварительная установка </w:t>
        <w:br/>
        <w:t>ПО «</w:t>
      </w:r>
      <w:r>
        <w:rPr>
          <w:rFonts w:cs="Times New Roman"/>
          <w:sz w:val="28"/>
          <w:szCs w:val="28"/>
          <w:lang w:val="en-US"/>
        </w:rPr>
        <w:t>VirtualBox</w:t>
      </w:r>
      <w:r>
        <w:rPr>
          <w:rFonts w:cs="Times New Roman"/>
          <w:sz w:val="28"/>
          <w:szCs w:val="28"/>
        </w:rPr>
        <w:t>».</w:t>
      </w:r>
    </w:p>
    <w:p>
      <w:pPr>
        <w:pStyle w:val="ListParagraph"/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32"/>
          <w:szCs w:val="32"/>
        </w:rPr>
        <w:t xml:space="preserve">         </w:t>
      </w:r>
      <w:r>
        <w:rPr>
          <w:rFonts w:cs="Times New Roman"/>
          <w:b/>
          <w:bCs/>
          <w:sz w:val="32"/>
          <w:szCs w:val="32"/>
        </w:rPr>
        <w:t>Импорт виртуальной машины</w:t>
      </w:r>
    </w:p>
    <w:p>
      <w:pPr>
        <w:pStyle w:val="ListParagraph"/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ab/>
        <w:t>Для корректной работы приложения в ПО «</w:t>
      </w:r>
      <w:r>
        <w:rPr>
          <w:rFonts w:cs="Times New Roman"/>
          <w:sz w:val="28"/>
          <w:szCs w:val="28"/>
          <w:lang w:val="en-US"/>
        </w:rPr>
        <w:t>VirtualBox</w:t>
      </w:r>
      <w:r>
        <w:rPr>
          <w:rFonts w:cs="Times New Roman"/>
          <w:sz w:val="28"/>
          <w:szCs w:val="28"/>
        </w:rPr>
        <w:t>» необходимо: выбрать файл и импортировать виртуальную машину, проверить параметры.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Импорт виртуальной машины (рис. 1).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Выбор файла виртуальной машины (рис. 2).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Проверка параметров виртуальной машины (рис. 3).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34355" cy="1774825"/>
            <wp:effectExtent l="0" t="0" r="0" b="0"/>
            <wp:wrapSquare wrapText="largest"/>
            <wp:docPr id="4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Рисунок 1. Импорт виртуальной машины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96255" cy="2408555"/>
            <wp:effectExtent l="0" t="0" r="0" b="0"/>
            <wp:wrapSquare wrapText="largest"/>
            <wp:docPr id="42" name="Image5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 Copy 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>Рисунок 2. Выбор файла виртуальной машины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77205" cy="2400300"/>
            <wp:effectExtent l="0" t="0" r="0" b="0"/>
            <wp:wrapSquare wrapText="largest"/>
            <wp:docPr id="43" name="Image6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6 Copy 1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>Рисунок 3. Проверка параметров виртуальной машины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/>
      </w:pPr>
      <w:r>
        <w:rPr>
          <w:rFonts w:cs="Times New Roman"/>
          <w:sz w:val="28"/>
          <w:szCs w:val="28"/>
        </w:rPr>
        <w:t>Проверить настройки и нажать кнопку «Готово».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/>
      </w:pPr>
      <w:r>
        <w:rPr>
          <w:b/>
          <w:bCs/>
          <w:sz w:val="32"/>
          <w:szCs w:val="32"/>
        </w:rPr>
        <w:t>Создание сети и её выбор на виртуальной машине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В меню Инструменты (Tools) выбрать вкладку Сеть (Network), создать «сеть только для хоста» (Host-only Networks).  (рисунок 1).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Установить подсеть 192.168.56.1/24 (IP — 192.168.56.1 / маска сети - 255.255.255.0) (рис. 2).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Перейти в виртуальной машине и проверить что выбрана ранее созданная сеть.  (рис. 3).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Выбор пункта меню сеть (Network)</w:t>
      </w:r>
      <w:r>
        <w:rPr>
          <w:rFonts w:cs="Times New Roman"/>
          <w:sz w:val="28"/>
          <w:szCs w:val="28"/>
        </w:rPr>
        <w:t xml:space="preserve"> (рис. 1).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Создание сети хоста (рис. 2).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Выбор сети на виртуальной машине (рис. 3) и (рис. 4).</w:t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hanging="0" w:left="0"/>
        <w:contextualSpacing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45760" cy="1874520"/>
            <wp:effectExtent l="0" t="0" r="0" b="0"/>
            <wp:wrapSquare wrapText="largest"/>
            <wp:docPr id="44" name="Image2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 Copy 1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Рисунок 1. Выбор пункта меню сеть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98745" cy="2858135"/>
            <wp:effectExtent l="0" t="0" r="0" b="0"/>
            <wp:wrapSquare wrapText="largest"/>
            <wp:docPr id="45" name="Image3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 Copy 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>Рисунок 2. Выбор пункта меню сеть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hanging="0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99735" cy="2096135"/>
            <wp:effectExtent l="0" t="0" r="0" b="0"/>
            <wp:wrapSquare wrapText="largest"/>
            <wp:docPr id="46" name="Image7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 Copy 1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Рисунок 3. Выбор сети на виртуальной машине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hanging="0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62905" cy="3638550"/>
            <wp:effectExtent l="0" t="0" r="0" b="0"/>
            <wp:wrapSquare wrapText="largest"/>
            <wp:docPr id="47" name="Image8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 Copy 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Рисунок 4. Выбор сети на виртуальной машине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Перевести режим работы сетевого адаптера виртуальной машины в тип подключения «Сеть только для хоста» (Host-only Networks) (рис. 4).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0"/>
        <w:contextualSpacing/>
        <w:jc w:val="both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hanging="0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32"/>
          <w:szCs w:val="32"/>
        </w:rPr>
        <w:t xml:space="preserve">         </w:t>
      </w:r>
      <w:r>
        <w:rPr>
          <w:rFonts w:cs="Times New Roman"/>
          <w:b/>
          <w:bCs/>
          <w:sz w:val="32"/>
          <w:szCs w:val="32"/>
        </w:rPr>
        <w:t xml:space="preserve">Запуск виртуальной машины и самой </w:t>
      </w:r>
      <w:r>
        <w:rPr>
          <w:rFonts w:cs="Times New Roman"/>
          <w:b/>
          <w:bCs/>
          <w:sz w:val="28"/>
          <w:szCs w:val="28"/>
        </w:rPr>
        <w:t>Системы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Запустить созданную виртуальную машину.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Нажать кнопку Старт (Start) (рис. 1).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Перейти в браузер по указанному адресу (рис. 2).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hanging="0" w:left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24805" cy="2785110"/>
            <wp:effectExtent l="0" t="0" r="0" b="0"/>
            <wp:wrapSquare wrapText="largest"/>
            <wp:docPr id="48" name="Image4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 Copy 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>
        <w:rPr>
          <w:rFonts w:cs="Times New Roman"/>
          <w:sz w:val="28"/>
          <w:szCs w:val="28"/>
        </w:rPr>
        <w:t>Запустить созданную виртуальную машину</w:t>
      </w:r>
    </w:p>
    <w:p>
      <w:pPr>
        <w:pStyle w:val="ListParagraph"/>
        <w:spacing w:lineRule="auto" w:line="360" w:before="0" w:after="0"/>
        <w:ind w:firstLine="709" w:left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spacing w:lineRule="auto" w:line="360"/>
        <w:ind w:firstLine="709" w:left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После запуска приложения, необходимо открыть браузер и перейти к Системы по следующему адресу:</w:t>
      </w:r>
    </w:p>
    <w:p>
      <w:pPr>
        <w:pStyle w:val="ListParagraph"/>
        <w:spacing w:lineRule="auto" w:line="360"/>
        <w:ind w:firstLine="709" w:left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http://192.168.56.10:8090 (рис. 2). </w:t>
      </w:r>
    </w:p>
    <w:p>
      <w:pPr>
        <w:pStyle w:val="ListParagraph"/>
        <w:spacing w:lineRule="auto" w:line="360"/>
        <w:ind w:firstLine="709" w:left="0"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spacing w:lineRule="auto" w:line="360"/>
        <w:ind w:firstLine="709" w:left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5248910" cy="2755265"/>
            <wp:effectExtent l="0" t="0" r="0" b="0"/>
            <wp:docPr id="49" name="Рисунок 6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6 Copy 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firstLine="709" w:left="0"/>
        <w:jc w:val="center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Рисунок 2. Приветственное окно  Системы</w:t>
      </w:r>
    </w:p>
    <w:p>
      <w:pPr>
        <w:pStyle w:val="ListParagraph"/>
        <w:spacing w:lineRule="auto" w:line="360"/>
        <w:ind w:firstLine="709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200"/>
        <w:ind w:firstLine="709" w:left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На странице авторизации ввести логин и пароль. </w:t>
      </w:r>
    </w:p>
    <w:sectPr>
      <w:footerReference w:type="even" r:id="rId51"/>
      <w:footerReference w:type="default" r:id="rId52"/>
      <w:footerReference w:type="first" r:id="rId53"/>
      <w:type w:val="nextPage"/>
      <w:pgSz w:w="11906" w:h="16838"/>
      <w:pgMar w:left="1168" w:right="851" w:gutter="0" w:header="0" w:top="1134" w:footer="709" w:bottom="766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Helvetica Neue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23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134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1384" w:hanging="67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1419" w:hanging="71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134"/>
        </w:tabs>
        <w:ind w:left="425" w:firstLine="284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69"/>
        </w:tabs>
        <w:ind w:left="2160" w:firstLine="38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29"/>
        </w:tabs>
        <w:ind w:left="4320" w:firstLine="74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4"/>
      <w:numFmt w:val="decimal"/>
      <w:lvlText w:val="%1.%2"/>
      <w:lvlJc w:val="left"/>
      <w:pPr>
        <w:tabs>
          <w:tab w:val="num" w:pos="0"/>
        </w:tabs>
        <w:ind w:left="1129" w:hanging="42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49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869" w:hanging="21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7"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/>
    </w:lvl>
    <w:lvl w:ilvl="1">
      <w:start w:val="3"/>
      <w:numFmt w:val="decimal"/>
      <w:lvlText w:val="%1.%2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108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44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80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040" w:hanging="2160"/>
      </w:pPr>
      <w:rPr/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134"/>
        </w:tabs>
        <w:ind w:left="425" w:firstLine="284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1099" w:hanging="39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1134"/>
        </w:tabs>
        <w:ind w:left="425" w:firstLine="284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1099" w:hanging="39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4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1134"/>
        </w:tabs>
        <w:ind w:left="425" w:firstLine="284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1099" w:hanging="39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1134"/>
        </w:tabs>
        <w:ind w:left="425" w:firstLine="284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1099" w:hanging="39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)"/>
      <w:lvlJc w:val="left"/>
      <w:pPr>
        <w:tabs>
          <w:tab w:val="num" w:pos="0"/>
        </w:tabs>
        <w:ind w:left="1134" w:hanging="425"/>
      </w:pPr>
      <w:rPr/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1134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b/>
        <w:kern w:val="0"/>
        <w:bCs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425" w:firstLine="284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  <w:startOverride w:val="1"/>
    </w:lvlOverride>
    <w:lvlOverride w:ilvl="0">
      <w:startOverride w:val="1"/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num" w:pos="0"/>
          </w:tabs>
          <w:ind w:left="1099" w:hanging="390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startOverride w:val="1"/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startOverride w:val="1"/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0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425" w:firstLine="284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>
      <w:startOverride w:val="1"/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num" w:pos="0"/>
          </w:tabs>
          <w:ind w:left="1099" w:hanging="390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  <w:startOverride w:val="1"/>
    </w:lvlOverride>
    <w:lvlOverride w:ilvl="1">
      <w:startOverride w:val="1"/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startOverride w:val="1"/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1">
    <w:abstractNumId w:val="11"/>
    <w:lvlOverride w:ilvl="0">
      <w:startOverride w:val="1"/>
    </w:lvlOverride>
  </w:num>
  <w:num w:numId="22">
    <w:abstractNumId w:val="11"/>
  </w:num>
  <w:num w:numId="23">
    <w:abstractNumId w:val="11"/>
  </w:num>
  <w:num w:numId="24">
    <w:abstractNumId w:val="11"/>
  </w:num>
  <w:num w:numId="25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425" w:firstLine="284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  <w:startOverride w:val="1"/>
    </w:lvlOverride>
    <w:lvlOverride w:ilvl="0">
      <w:startOverride w:val="1"/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num" w:pos="0"/>
          </w:tabs>
          <w:ind w:left="1099" w:hanging="390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startOverride w:val="1"/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startOverride w:val="1"/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startOverride w:val="1"/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startOverride w:val="1"/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startOverride w:val="1"/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startOverride w:val="1"/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startOverride w:val="1"/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num" w:pos="0"/>
          </w:tabs>
          <w:ind w:left="1134" w:hanging="425"/>
        </w:pPr>
        <w:rPr>
          <w:smallCaps w:val="false"/>
          <w:caps w:val="false"/>
          <w:dstrike w:val="false"/>
          <w:strike w:val="false"/>
          <w:vertAlign w:val="baseline"/>
          <w:position w:val="0"/>
          <w:sz w:val="20"/>
          <w:sz w:val="20"/>
          <w:spacing w:val="0"/>
          <w:b/>
          <w:kern w:val="0"/>
          <w:bCs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a44ac6"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Arial Unicode MS" w:cs="Arial Unicode MS"/>
      <w:color w:val="000000"/>
      <w:kern w:val="0"/>
      <w:sz w:val="28"/>
      <w:szCs w:val="28"/>
      <w:u w:val="none" w:color="000000"/>
      <w:lang w:val="ru-RU" w:eastAsia="ru-RU" w:bidi="ar-SA"/>
    </w:rPr>
  </w:style>
  <w:style w:type="paragraph" w:styleId="Heading1">
    <w:name w:val="Heading 1"/>
    <w:uiPriority w:val="9"/>
    <w:qFormat/>
    <w:pPr>
      <w:widowControl/>
      <w:tabs>
        <w:tab w:val="clear" w:pos="708"/>
        <w:tab w:val="left" w:pos="1134" w:leader="none"/>
      </w:tabs>
      <w:suppressAutoHyphens w:val="true"/>
      <w:bidi w:val="0"/>
      <w:spacing w:lineRule="auto" w:line="360" w:before="100" w:after="100"/>
      <w:ind w:firstLine="709"/>
      <w:jc w:val="both"/>
      <w:outlineLvl w:val="0"/>
    </w:pPr>
    <w:rPr>
      <w:rFonts w:ascii="Times New Roman" w:hAnsi="Times New Roman" w:eastAsia="Times New Roman" w:cs="Times New Roman"/>
      <w:b/>
      <w:bCs/>
      <w:caps/>
      <w:color w:val="000000"/>
      <w:kern w:val="2"/>
      <w:sz w:val="28"/>
      <w:szCs w:val="28"/>
      <w:u w:val="none" w:color="000000"/>
      <w:lang w:val="ru-RU" w:eastAsia="ru-RU" w:bidi="ar-SA"/>
    </w:rPr>
  </w:style>
  <w:style w:type="paragraph" w:styleId="Heading2">
    <w:name w:val="Heading 2"/>
    <w:next w:val="Normal"/>
    <w:uiPriority w:val="9"/>
    <w:unhideWhenUsed/>
    <w:qFormat/>
    <w:pPr>
      <w:keepNext w:val="true"/>
      <w:keepLines/>
      <w:widowControl/>
      <w:suppressAutoHyphens w:val="true"/>
      <w:bidi w:val="0"/>
      <w:spacing w:lineRule="auto" w:line="276" w:before="40" w:after="0"/>
      <w:jc w:val="left"/>
      <w:outlineLvl w:val="1"/>
    </w:pPr>
    <w:rPr>
      <w:rFonts w:ascii="Times New Roman" w:hAnsi="Times New Roman" w:eastAsia="Times New Roman" w:cs="Times New Roman"/>
      <w:b/>
      <w:bCs/>
      <w:color w:val="000000"/>
      <w:kern w:val="0"/>
      <w:sz w:val="28"/>
      <w:szCs w:val="28"/>
      <w:u w:val="none" w:color="00000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uiPriority w:val="99"/>
    <w:rPr>
      <w:u w:val="single"/>
    </w:rPr>
  </w:style>
  <w:style w:type="character" w:styleId="Style12" w:customStyle="1">
    <w:name w:val="Ссылка"/>
    <w:qFormat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Style12"/>
    <w:qFormat/>
    <w:rPr>
      <w:rFonts w:ascii="Times New Roman" w:hAnsi="Times New Roman" w:eastAsia="Times New Roman" w:cs="Times New Roman"/>
      <w:i/>
      <w:iCs/>
      <w:color w:val="0563C1"/>
      <w:u w:val="single" w:color="0563C1"/>
      <w:shd w:fill="FFFF00" w:val="clear"/>
      <w14:textOutline w14:w="0" w14:cap="rnd" w14:cmpd="sng" w14:algn="ctr">
        <w14:noFill/>
        <w14:prstDash w14:val="solid"/>
        <w14:bevel/>
      </w14:textOutline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4756d4"/>
    <w:rPr>
      <w:sz w:val="16"/>
      <w:szCs w:val="16"/>
    </w:rPr>
  </w:style>
  <w:style w:type="character" w:styleId="Style13" w:customStyle="1">
    <w:name w:val="Текст примечания Знак"/>
    <w:basedOn w:val="DefaultParagraphFont"/>
    <w:link w:val="AnnotationText"/>
    <w:uiPriority w:val="99"/>
    <w:semiHidden/>
    <w:qFormat/>
    <w:rsid w:val="004756d4"/>
    <w:rPr>
      <w:rFonts w:cs="Arial Unicode MS"/>
      <w:color w:val="000000"/>
      <w:u w:val="none" w:color="000000"/>
    </w:rPr>
  </w:style>
  <w:style w:type="character" w:styleId="Style14" w:customStyle="1">
    <w:name w:val="Тема примечания Знак"/>
    <w:basedOn w:val="Style13"/>
    <w:link w:val="annotationsubject"/>
    <w:uiPriority w:val="99"/>
    <w:semiHidden/>
    <w:qFormat/>
    <w:rsid w:val="004756d4"/>
    <w:rPr>
      <w:rFonts w:cs="Arial Unicode MS"/>
      <w:b/>
      <w:bCs/>
      <w:color w:val="000000"/>
      <w:u w:val="none" w:color="000000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4756d4"/>
    <w:rPr>
      <w:rFonts w:ascii="Segoe UI" w:hAnsi="Segoe UI" w:cs="Segoe UI"/>
      <w:color w:val="000000"/>
      <w:sz w:val="18"/>
      <w:szCs w:val="18"/>
      <w:u w:val="none" w:color="000000"/>
    </w:rPr>
  </w:style>
  <w:style w:type="character" w:styleId="Strong">
    <w:name w:val="Strong"/>
    <w:basedOn w:val="DefaultParagraphFont"/>
    <w:uiPriority w:val="22"/>
    <w:qFormat/>
    <w:rsid w:val="006d2986"/>
    <w:rPr>
      <w:b/>
      <w:bCs/>
    </w:rPr>
  </w:style>
  <w:style w:type="character" w:styleId="Style16" w:customStyle="1">
    <w:name w:val="Заголовок Знак"/>
    <w:basedOn w:val="DefaultParagraphFont"/>
    <w:link w:val="Title"/>
    <w:uiPriority w:val="10"/>
    <w:qFormat/>
    <w:rsid w:val="003d5254"/>
    <w:rPr>
      <w:rFonts w:ascii="Helvetica Neue" w:hAnsi="Helvetica Neue" w:eastAsia="Helvetica Neue" w:cs="Helvetica Neue" w:asciiTheme="majorHAnsi" w:cstheme="majorBidi" w:eastAsiaTheme="majorEastAsia" w:hAnsiTheme="majorHAnsi"/>
      <w:spacing w:val="-10"/>
      <w:kern w:val="2"/>
      <w:sz w:val="56"/>
      <w:szCs w:val="56"/>
      <w:u w:val="none" w:color="000000"/>
    </w:rPr>
  </w:style>
  <w:style w:type="character" w:styleId="Style17" w:customStyle="1">
    <w:name w:val="Верхний колонтитул Знак"/>
    <w:basedOn w:val="DefaultParagraphFont"/>
    <w:link w:val="Header"/>
    <w:uiPriority w:val="99"/>
    <w:qFormat/>
    <w:rsid w:val="00f716b4"/>
    <w:rPr>
      <w:rFonts w:cs="Arial Unicode MS"/>
      <w:color w:val="000000"/>
      <w:sz w:val="28"/>
      <w:szCs w:val="28"/>
      <w:u w:val="none" w:color="000000"/>
    </w:rPr>
  </w:style>
  <w:style w:type="character" w:styleId="Style18" w:customStyle="1">
    <w:name w:val="Абзац списка Знак"/>
    <w:link w:val="ListParagraph"/>
    <w:uiPriority w:val="34"/>
    <w:qFormat/>
    <w:locked/>
    <w:rsid w:val="003f5835"/>
    <w:rPr>
      <w:rFonts w:cs="Arial Unicode MS"/>
      <w:color w:val="000000"/>
      <w:sz w:val="28"/>
      <w:szCs w:val="28"/>
      <w:u w:val="none" w:color="000000"/>
    </w:rPr>
  </w:style>
  <w:style w:type="character" w:styleId="IndexLink" w:customStyle="1">
    <w:name w:val="Index Link"/>
    <w:qFormat/>
    <w:rPr/>
  </w:style>
  <w:style w:type="character" w:styleId="NumberingSymbols">
    <w:name w:val="Numbering Symbols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Noto Sans Devanagari"/>
    </w:rPr>
  </w:style>
  <w:style w:type="paragraph" w:styleId="Style19" w:customStyle="1">
    <w:name w:val="Колонтитулы"/>
    <w:qFormat/>
    <w:pPr>
      <w:widowControl/>
      <w:tabs>
        <w:tab w:val="clear" w:pos="708"/>
        <w:tab w:val="right" w:pos="9020" w:leader="none"/>
      </w:tabs>
      <w:suppressAutoHyphens w:val="true"/>
      <w:bidi w:val="0"/>
      <w:spacing w:before="0" w:after="0"/>
      <w:jc w:val="left"/>
    </w:pPr>
    <w:rPr>
      <w:rFonts w:ascii="Helvetica Neue" w:hAnsi="Helvetica Neue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HeaderandFooter" w:customStyle="1">
    <w:name w:val="Header and Footer"/>
    <w:basedOn w:val="Normal"/>
    <w:qFormat/>
    <w:pPr/>
    <w:rPr/>
  </w:style>
  <w:style w:type="paragraph" w:styleId="Footer">
    <w:name w:val="Footer"/>
    <w:pPr>
      <w:widowControl/>
      <w:tabs>
        <w:tab w:val="clear" w:pos="708"/>
        <w:tab w:val="center" w:pos="4677" w:leader="none"/>
        <w:tab w:val="right" w:pos="9355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Arial Unicode MS" w:cs="Arial Unicode MS"/>
      <w:color w:val="000000"/>
      <w:kern w:val="0"/>
      <w:sz w:val="28"/>
      <w:szCs w:val="28"/>
      <w:u w:val="none" w:color="000000"/>
      <w:lang w:val="ru-RU" w:eastAsia="ru-RU" w:bidi="ar-SA"/>
    </w:rPr>
  </w:style>
  <w:style w:type="paragraph" w:styleId="TOC1">
    <w:name w:val="TOC 1"/>
    <w:uiPriority w:val="39"/>
    <w:pPr>
      <w:widowControl/>
      <w:tabs>
        <w:tab w:val="clear" w:pos="708"/>
        <w:tab w:val="left" w:pos="440" w:leader="none"/>
        <w:tab w:val="left" w:pos="1134" w:leader="none"/>
        <w:tab w:val="right" w:pos="9861" w:leader="dot"/>
      </w:tabs>
      <w:suppressAutoHyphens w:val="true"/>
      <w:bidi w:val="0"/>
      <w:spacing w:lineRule="auto" w:line="259" w:before="0" w:after="100"/>
      <w:jc w:val="both"/>
    </w:pPr>
    <w:rPr>
      <w:rFonts w:ascii="Times New Roman" w:hAnsi="Times New Roman" w:eastAsia="Times New Roman" w:cs="Times New Roman"/>
      <w:color w:val="000000"/>
      <w:kern w:val="0"/>
      <w:sz w:val="28"/>
      <w:szCs w:val="28"/>
      <w:u w:val="none" w:color="000000"/>
      <w:lang w:val="ru-RU" w:eastAsia="ru-RU" w:bidi="ar-SA"/>
    </w:rPr>
  </w:style>
  <w:style w:type="paragraph" w:styleId="TOC2">
    <w:name w:val="TOC 2"/>
    <w:uiPriority w:val="39"/>
    <w:pPr>
      <w:widowControl/>
      <w:tabs>
        <w:tab w:val="clear" w:pos="708"/>
        <w:tab w:val="left" w:pos="1134" w:leader="none"/>
        <w:tab w:val="right" w:pos="9861" w:leader="dot"/>
      </w:tabs>
      <w:suppressAutoHyphens w:val="true"/>
      <w:bidi w:val="0"/>
      <w:spacing w:lineRule="auto" w:line="259" w:before="0" w:after="100"/>
      <w:ind w:firstLine="709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8"/>
      <w:u w:val="none" w:color="000000"/>
      <w:lang w:val="ru-RU" w:eastAsia="ru-RU" w:bidi="ar-SA"/>
    </w:rPr>
  </w:style>
  <w:style w:type="paragraph" w:styleId="ListParagraph">
    <w:name w:val="List Paragraph"/>
    <w:link w:val="Style18"/>
    <w:uiPriority w:val="34"/>
    <w:qFormat/>
    <w:pPr>
      <w:widowControl/>
      <w:suppressAutoHyphens w:val="true"/>
      <w:bidi w:val="0"/>
      <w:spacing w:lineRule="auto" w:line="276" w:before="0" w:after="200"/>
      <w:ind w:left="720"/>
      <w:jc w:val="left"/>
    </w:pPr>
    <w:rPr>
      <w:rFonts w:ascii="Times New Roman" w:hAnsi="Times New Roman" w:eastAsia="Arial Unicode MS" w:cs="Arial Unicode MS"/>
      <w:color w:val="000000"/>
      <w:kern w:val="0"/>
      <w:sz w:val="28"/>
      <w:szCs w:val="28"/>
      <w:u w:val="none" w:color="000000"/>
      <w:lang w:val="ru-RU" w:eastAsia="ru-RU" w:bidi="ar-SA"/>
    </w:rPr>
  </w:style>
  <w:style w:type="paragraph" w:styleId="AnnotationText">
    <w:name w:val="Annotation Text"/>
    <w:basedOn w:val="Normal"/>
    <w:link w:val="Style13"/>
    <w:uiPriority w:val="99"/>
    <w:semiHidden/>
    <w:unhideWhenUsed/>
    <w:qFormat/>
    <w:rsid w:val="004756d4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4"/>
    <w:uiPriority w:val="99"/>
    <w:semiHidden/>
    <w:unhideWhenUsed/>
    <w:qFormat/>
    <w:rsid w:val="004756d4"/>
    <w:pPr/>
    <w:rPr>
      <w:b/>
      <w:bCs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4756d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Style16"/>
    <w:uiPriority w:val="10"/>
    <w:qFormat/>
    <w:rsid w:val="003d5254"/>
    <w:pPr>
      <w:spacing w:lineRule="auto" w:line="240" w:before="0" w:after="0"/>
      <w:contextualSpacing/>
    </w:pPr>
    <w:rPr>
      <w:rFonts w:ascii="Helvetica Neue" w:hAnsi="Helvetica Neue" w:eastAsia="Helvetica Neue" w:cs="Helvetica Neue" w:asciiTheme="majorHAnsi" w:cstheme="majorBidi" w:eastAsiaTheme="majorEastAsia" w:hAnsiTheme="majorHAnsi"/>
      <w:color w:val="auto"/>
      <w:spacing w:val="-10"/>
      <w:kern w:val="2"/>
      <w:sz w:val="56"/>
      <w:szCs w:val="56"/>
    </w:rPr>
  </w:style>
  <w:style w:type="paragraph" w:styleId="IndexHeading">
    <w:name w:val="Index Heading"/>
    <w:basedOn w:val="Heading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f716b4"/>
    <w:pPr>
      <w:keepNext w:val="true"/>
      <w:keepLines/>
      <w:tabs>
        <w:tab w:val="clear" w:pos="1134"/>
      </w:tabs>
      <w:spacing w:lineRule="auto" w:line="259" w:before="240" w:after="0"/>
      <w:ind w:hanging="0"/>
      <w:jc w:val="left"/>
      <w:outlineLvl w:val="9"/>
    </w:pPr>
    <w:rPr>
      <w:rFonts w:ascii="Helvetica Neue" w:hAnsi="Helvetica Neue" w:eastAsia="Helvetica Neue" w:cs="Helvetica Neue" w:asciiTheme="majorHAnsi" w:cstheme="majorBidi" w:eastAsiaTheme="majorEastAsia" w:hAnsiTheme="majorHAnsi"/>
      <w:b w:val="false"/>
      <w:bCs w:val="false"/>
      <w:caps w:val="false"/>
      <w:smallCaps w:val="false"/>
      <w:color w:themeColor="accent1" w:themeShade="bf" w:val="2F5496"/>
      <w:kern w:val="0"/>
      <w:sz w:val="32"/>
      <w:szCs w:val="32"/>
    </w:rPr>
  </w:style>
  <w:style w:type="paragraph" w:styleId="Header">
    <w:name w:val="Header"/>
    <w:basedOn w:val="Normal"/>
    <w:link w:val="Style17"/>
    <w:uiPriority w:val="99"/>
    <w:unhideWhenUsed/>
    <w:rsid w:val="00f716b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1" w:customStyle="1">
    <w:name w:val="Импортированный стиль 1"/>
    <w:qFormat/>
  </w:style>
  <w:style w:type="numbering" w:styleId="2" w:customStyle="1">
    <w:name w:val="Импортированный стиль 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5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pn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png"/><Relationship Id="rId24" Type="http://schemas.openxmlformats.org/officeDocument/2006/relationships/image" Target="media/image22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2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oter" Target="footer3.xml"/><Relationship Id="rId54" Type="http://schemas.openxmlformats.org/officeDocument/2006/relationships/numbering" Target="numbering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<Relationship Id="rId5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7A338-6F47-49F6-809A-3AACDA614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LibreOffice/24.2.6.2$Linux_X86_64 LibreOffice_project/420$Build-2</Application>
  <AppVersion>15.0000</AppVersion>
  <Pages>23</Pages>
  <Words>1922</Words>
  <Characters>13197</Characters>
  <CharactersWithSpaces>14947</CharactersWithSpaces>
  <Paragraphs>259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2024-08-23T11:19:00Z</dcterms:created>
  <dc:creator>Lex</dc:creator>
  <dc:description/>
  <dc:language>en-GB</dc:language>
  <cp:lastModifiedBy/>
  <cp:lastPrinted>2024-10-15T15:39:01Z</cp:lastPrinted>
  <dcterms:modified xsi:type="dcterms:W3CDTF">2024-10-15T15:41:21Z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